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1FBDB">
      <w:pPr>
        <w:autoSpaceDE w:val="0"/>
        <w:autoSpaceDN w:val="0"/>
        <w:adjustRightInd w:val="0"/>
        <w:snapToGrid w:val="0"/>
        <w:spacing w:line="360" w:lineRule="auto"/>
        <w:jc w:val="center"/>
        <w:rPr>
          <w:rFonts w:hint="eastAsia" w:ascii="宋体" w:hAnsi="宋体" w:eastAsia="宋体" w:cs="宋体"/>
          <w:b/>
          <w:snapToGrid w:val="0"/>
          <w:color w:val="auto"/>
          <w:kern w:val="0"/>
          <w:sz w:val="44"/>
          <w:szCs w:val="44"/>
          <w:highlight w:val="none"/>
          <w:u w:val="single"/>
          <w:lang w:val="zh-CN" w:eastAsia="zh-CN"/>
        </w:rPr>
      </w:pPr>
      <w:bookmarkStart w:id="0" w:name="Content"/>
      <w:r>
        <w:rPr>
          <w:rFonts w:hint="eastAsia" w:ascii="宋体" w:hAnsi="宋体" w:eastAsia="宋体" w:cs="宋体"/>
          <w:b/>
          <w:snapToGrid w:val="0"/>
          <w:color w:val="auto"/>
          <w:kern w:val="0"/>
          <w:sz w:val="44"/>
          <w:szCs w:val="44"/>
          <w:highlight w:val="none"/>
          <w:u w:val="single"/>
          <w:lang w:val="zh-CN" w:eastAsia="zh-CN"/>
        </w:rPr>
        <w:t>杭州市环境集团有限公司</w:t>
      </w:r>
    </w:p>
    <w:p w14:paraId="70AD6942">
      <w:pPr>
        <w:autoSpaceDE w:val="0"/>
        <w:autoSpaceDN w:val="0"/>
        <w:adjustRightInd w:val="0"/>
        <w:snapToGrid w:val="0"/>
        <w:spacing w:line="360" w:lineRule="auto"/>
        <w:jc w:val="center"/>
        <w:rPr>
          <w:rFonts w:hint="eastAsia" w:ascii="宋体" w:hAnsi="宋体" w:eastAsia="宋体" w:cs="宋体"/>
          <w:b/>
          <w:snapToGrid w:val="0"/>
          <w:color w:val="auto"/>
          <w:kern w:val="0"/>
          <w:sz w:val="44"/>
          <w:szCs w:val="44"/>
          <w:highlight w:val="none"/>
          <w:lang w:val="zh-CN"/>
        </w:rPr>
      </w:pPr>
      <w:r>
        <w:rPr>
          <w:rFonts w:hint="eastAsia" w:ascii="宋体" w:hAnsi="宋体" w:eastAsia="宋体" w:cs="宋体"/>
          <w:b/>
          <w:snapToGrid w:val="0"/>
          <w:color w:val="auto"/>
          <w:kern w:val="0"/>
          <w:sz w:val="44"/>
          <w:szCs w:val="44"/>
          <w:highlight w:val="none"/>
          <w:u w:val="single"/>
          <w:lang w:val="zh-CN"/>
        </w:rPr>
        <w:t>2024-2025年片碱采购</w:t>
      </w:r>
      <w:r>
        <w:rPr>
          <w:rFonts w:hint="eastAsia" w:ascii="宋体" w:hAnsi="宋体" w:eastAsia="宋体" w:cs="宋体"/>
          <w:b/>
          <w:snapToGrid w:val="0"/>
          <w:color w:val="auto"/>
          <w:kern w:val="0"/>
          <w:sz w:val="44"/>
          <w:szCs w:val="44"/>
          <w:highlight w:val="none"/>
          <w:lang w:val="zh-CN"/>
        </w:rPr>
        <w:t>项目</w:t>
      </w:r>
    </w:p>
    <w:p w14:paraId="6F262244">
      <w:pPr>
        <w:autoSpaceDE w:val="0"/>
        <w:autoSpaceDN w:val="0"/>
        <w:adjustRightInd w:val="0"/>
        <w:snapToGrid w:val="0"/>
        <w:spacing w:line="360" w:lineRule="auto"/>
        <w:jc w:val="center"/>
        <w:rPr>
          <w:rFonts w:hint="eastAsia" w:ascii="宋体" w:hAnsi="宋体" w:eastAsia="宋体" w:cs="宋体"/>
          <w:snapToGrid w:val="0"/>
          <w:color w:val="auto"/>
          <w:kern w:val="0"/>
          <w:sz w:val="52"/>
          <w:szCs w:val="52"/>
          <w:highlight w:val="none"/>
        </w:rPr>
      </w:pPr>
    </w:p>
    <w:p w14:paraId="419709D4">
      <w:pPr>
        <w:autoSpaceDE w:val="0"/>
        <w:autoSpaceDN w:val="0"/>
        <w:adjustRightInd w:val="0"/>
        <w:snapToGrid w:val="0"/>
        <w:spacing w:line="360" w:lineRule="auto"/>
        <w:jc w:val="center"/>
        <w:rPr>
          <w:rFonts w:hint="eastAsia" w:ascii="宋体" w:hAnsi="宋体" w:eastAsia="宋体" w:cs="宋体"/>
          <w:bCs/>
          <w:snapToGrid w:val="0"/>
          <w:color w:val="auto"/>
          <w:kern w:val="0"/>
          <w:sz w:val="72"/>
          <w:szCs w:val="72"/>
          <w:highlight w:val="none"/>
        </w:rPr>
      </w:pPr>
      <w:r>
        <w:rPr>
          <w:rFonts w:hint="eastAsia" w:ascii="宋体" w:hAnsi="宋体" w:eastAsia="宋体" w:cs="宋体"/>
          <w:bCs/>
          <w:snapToGrid w:val="0"/>
          <w:color w:val="auto"/>
          <w:kern w:val="0"/>
          <w:sz w:val="72"/>
          <w:szCs w:val="72"/>
          <w:highlight w:val="none"/>
        </w:rPr>
        <w:t>招标文件</w:t>
      </w:r>
    </w:p>
    <w:p w14:paraId="6930B706">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p>
    <w:p w14:paraId="7A66EDC9">
      <w:pPr>
        <w:autoSpaceDE w:val="0"/>
        <w:autoSpaceDN w:val="0"/>
        <w:adjustRightInd w:val="0"/>
        <w:snapToGrid w:val="0"/>
        <w:spacing w:line="360" w:lineRule="auto"/>
        <w:ind w:left="0" w:leftChars="0"/>
        <w:jc w:val="center"/>
        <w:rPr>
          <w:rFonts w:hint="eastAsia" w:ascii="宋体" w:hAnsi="宋体" w:eastAsia="宋体" w:cs="宋体"/>
          <w:b/>
          <w:snapToGrid w:val="0"/>
          <w:color w:val="auto"/>
          <w:kern w:val="0"/>
          <w:sz w:val="32"/>
          <w:szCs w:val="32"/>
          <w:highlight w:val="none"/>
          <w:lang w:val="en-US" w:eastAsia="zh-CN"/>
        </w:rPr>
      </w:pPr>
      <w:r>
        <w:rPr>
          <w:rFonts w:hint="eastAsia" w:ascii="宋体" w:hAnsi="宋体" w:eastAsia="宋体" w:cs="宋体"/>
          <w:b/>
          <w:snapToGrid w:val="0"/>
          <w:color w:val="auto"/>
          <w:kern w:val="0"/>
          <w:sz w:val="32"/>
          <w:szCs w:val="32"/>
          <w:highlight w:val="none"/>
        </w:rPr>
        <w:t>招标编号:</w:t>
      </w:r>
      <w:r>
        <w:rPr>
          <w:rFonts w:hint="eastAsia" w:ascii="宋体" w:hAnsi="宋体" w:eastAsia="宋体" w:cs="宋体"/>
          <w:b/>
          <w:snapToGrid w:val="0"/>
          <w:color w:val="auto"/>
          <w:kern w:val="0"/>
          <w:sz w:val="32"/>
          <w:szCs w:val="32"/>
          <w:highlight w:val="none"/>
          <w:lang w:val="en-US" w:eastAsia="zh-CN"/>
        </w:rPr>
        <w:t xml:space="preserve"> NY-4HZB2410031</w:t>
      </w:r>
    </w:p>
    <w:p w14:paraId="71956873">
      <w:pPr>
        <w:pStyle w:val="10"/>
        <w:snapToGrid w:val="0"/>
        <w:spacing w:line="360" w:lineRule="auto"/>
        <w:jc w:val="center"/>
        <w:rPr>
          <w:rFonts w:hint="eastAsia" w:ascii="宋体" w:hAnsi="宋体" w:eastAsia="宋体" w:cs="宋体"/>
          <w:snapToGrid w:val="0"/>
          <w:color w:val="auto"/>
          <w:kern w:val="0"/>
          <w:sz w:val="32"/>
          <w:highlight w:val="none"/>
        </w:rPr>
      </w:pPr>
    </w:p>
    <w:p w14:paraId="2CDC3531">
      <w:pPr>
        <w:pStyle w:val="10"/>
        <w:snapToGrid w:val="0"/>
        <w:spacing w:line="360" w:lineRule="auto"/>
        <w:jc w:val="center"/>
        <w:rPr>
          <w:rFonts w:hint="eastAsia" w:ascii="宋体" w:hAnsi="宋体" w:eastAsia="宋体" w:cs="宋体"/>
          <w:snapToGrid w:val="0"/>
          <w:color w:val="auto"/>
          <w:kern w:val="0"/>
          <w:sz w:val="32"/>
          <w:highlight w:val="none"/>
        </w:rPr>
      </w:pPr>
    </w:p>
    <w:p w14:paraId="6EDA5416">
      <w:pPr>
        <w:pStyle w:val="10"/>
        <w:snapToGrid w:val="0"/>
        <w:spacing w:line="360" w:lineRule="auto"/>
        <w:jc w:val="center"/>
        <w:rPr>
          <w:rFonts w:hint="eastAsia" w:ascii="宋体" w:hAnsi="宋体" w:eastAsia="宋体" w:cs="宋体"/>
          <w:snapToGrid w:val="0"/>
          <w:color w:val="auto"/>
          <w:kern w:val="0"/>
          <w:sz w:val="32"/>
          <w:highlight w:val="none"/>
        </w:rPr>
      </w:pPr>
    </w:p>
    <w:p w14:paraId="1406733E">
      <w:pPr>
        <w:pStyle w:val="10"/>
        <w:snapToGrid w:val="0"/>
        <w:spacing w:line="360" w:lineRule="auto"/>
        <w:jc w:val="center"/>
        <w:rPr>
          <w:rFonts w:hint="eastAsia" w:ascii="宋体" w:hAnsi="宋体" w:eastAsia="宋体" w:cs="宋体"/>
          <w:snapToGrid w:val="0"/>
          <w:color w:val="auto"/>
          <w:kern w:val="0"/>
          <w:sz w:val="32"/>
          <w:highlight w:val="none"/>
        </w:rPr>
      </w:pPr>
    </w:p>
    <w:p w14:paraId="680D019F">
      <w:pPr>
        <w:pStyle w:val="10"/>
        <w:snapToGrid w:val="0"/>
        <w:spacing w:line="360" w:lineRule="auto"/>
        <w:jc w:val="center"/>
        <w:rPr>
          <w:rFonts w:hint="eastAsia" w:ascii="宋体" w:hAnsi="宋体" w:eastAsia="宋体" w:cs="宋体"/>
          <w:snapToGrid w:val="0"/>
          <w:color w:val="auto"/>
          <w:kern w:val="0"/>
          <w:sz w:val="32"/>
          <w:highlight w:val="none"/>
        </w:rPr>
      </w:pPr>
    </w:p>
    <w:p w14:paraId="13438BF7">
      <w:pPr>
        <w:pStyle w:val="10"/>
        <w:snapToGrid w:val="0"/>
        <w:spacing w:line="360" w:lineRule="auto"/>
        <w:jc w:val="center"/>
        <w:rPr>
          <w:rFonts w:hint="eastAsia" w:ascii="宋体" w:hAnsi="宋体" w:eastAsia="宋体" w:cs="宋体"/>
          <w:snapToGrid w:val="0"/>
          <w:color w:val="auto"/>
          <w:kern w:val="0"/>
          <w:sz w:val="32"/>
          <w:highlight w:val="none"/>
        </w:rPr>
      </w:pPr>
    </w:p>
    <w:tbl>
      <w:tblPr>
        <w:tblStyle w:val="24"/>
        <w:tblW w:w="9099" w:type="dxa"/>
        <w:jc w:val="center"/>
        <w:tblLayout w:type="fixed"/>
        <w:tblCellMar>
          <w:top w:w="0" w:type="dxa"/>
          <w:left w:w="108" w:type="dxa"/>
          <w:bottom w:w="0" w:type="dxa"/>
          <w:right w:w="108" w:type="dxa"/>
        </w:tblCellMar>
      </w:tblPr>
      <w:tblGrid>
        <w:gridCol w:w="2048"/>
        <w:gridCol w:w="7051"/>
      </w:tblGrid>
      <w:tr w14:paraId="3FF6D285">
        <w:tblPrEx>
          <w:tblCellMar>
            <w:top w:w="0" w:type="dxa"/>
            <w:left w:w="108" w:type="dxa"/>
            <w:bottom w:w="0" w:type="dxa"/>
            <w:right w:w="108" w:type="dxa"/>
          </w:tblCellMar>
        </w:tblPrEx>
        <w:trPr>
          <w:trHeight w:val="822" w:hRule="atLeast"/>
          <w:jc w:val="center"/>
        </w:trPr>
        <w:tc>
          <w:tcPr>
            <w:tcW w:w="2048" w:type="dxa"/>
            <w:noWrap w:val="0"/>
            <w:vAlign w:val="center"/>
          </w:tcPr>
          <w:p w14:paraId="4EE504E6">
            <w:pPr>
              <w:pStyle w:val="10"/>
              <w:keepNext w:val="0"/>
              <w:keepLines w:val="0"/>
              <w:suppressLineNumbers w:val="0"/>
              <w:snapToGrid w:val="0"/>
              <w:spacing w:before="0" w:beforeAutospacing="0" w:after="0" w:afterAutospacing="0"/>
              <w:ind w:left="0" w:right="0"/>
              <w:jc w:val="center"/>
              <w:rPr>
                <w:rFonts w:hint="eastAsia" w:ascii="宋体" w:hAnsi="宋体" w:eastAsia="宋体" w:cs="宋体"/>
                <w:snapToGrid w:val="0"/>
                <w:color w:val="auto"/>
                <w:kern w:val="0"/>
                <w:sz w:val="32"/>
                <w:highlight w:val="none"/>
              </w:rPr>
            </w:pPr>
            <w:r>
              <w:rPr>
                <w:rFonts w:hint="eastAsia" w:ascii="宋体" w:hAnsi="宋体" w:eastAsia="宋体" w:cs="宋体"/>
                <w:snapToGrid w:val="0"/>
                <w:color w:val="auto"/>
                <w:kern w:val="0"/>
                <w:sz w:val="32"/>
                <w:highlight w:val="none"/>
              </w:rPr>
              <w:t>招 标 人：</w:t>
            </w:r>
          </w:p>
        </w:tc>
        <w:tc>
          <w:tcPr>
            <w:tcW w:w="7051" w:type="dxa"/>
            <w:noWrap w:val="0"/>
            <w:vAlign w:val="center"/>
          </w:tcPr>
          <w:p w14:paraId="7DB800B2">
            <w:pPr>
              <w:pStyle w:val="10"/>
              <w:keepNext w:val="0"/>
              <w:keepLines w:val="0"/>
              <w:suppressLineNumbers w:val="0"/>
              <w:snapToGrid w:val="0"/>
              <w:spacing w:before="0" w:beforeAutospacing="0" w:after="0" w:afterAutospacing="0"/>
              <w:ind w:left="0" w:right="0"/>
              <w:jc w:val="left"/>
              <w:rPr>
                <w:rFonts w:hint="eastAsia" w:ascii="宋体" w:hAnsi="宋体" w:eastAsia="宋体" w:cs="宋体"/>
                <w:snapToGrid w:val="0"/>
                <w:color w:val="auto"/>
                <w:kern w:val="0"/>
                <w:sz w:val="32"/>
                <w:highlight w:val="none"/>
              </w:rPr>
            </w:pPr>
            <w:r>
              <w:rPr>
                <w:rFonts w:hint="eastAsia" w:ascii="宋体" w:hAnsi="宋体" w:eastAsia="宋体" w:cs="宋体"/>
                <w:snapToGrid w:val="0"/>
                <w:color w:val="auto"/>
                <w:kern w:val="0"/>
                <w:sz w:val="32"/>
                <w:szCs w:val="32"/>
                <w:highlight w:val="none"/>
                <w:u w:val="single"/>
                <w:lang w:val="en-US" w:eastAsia="zh-CN"/>
              </w:rPr>
              <w:t>杭州市环境集团有限公司</w:t>
            </w:r>
            <w:r>
              <w:rPr>
                <w:rFonts w:hint="eastAsia" w:ascii="宋体" w:hAnsi="宋体" w:eastAsia="宋体" w:cs="宋体"/>
                <w:snapToGrid w:val="0"/>
                <w:color w:val="auto"/>
                <w:kern w:val="0"/>
                <w:sz w:val="32"/>
                <w:highlight w:val="none"/>
              </w:rPr>
              <w:t>（盖单位公章）</w:t>
            </w:r>
          </w:p>
        </w:tc>
      </w:tr>
      <w:tr w14:paraId="2BA255AD">
        <w:tblPrEx>
          <w:tblCellMar>
            <w:top w:w="0" w:type="dxa"/>
            <w:left w:w="108" w:type="dxa"/>
            <w:bottom w:w="0" w:type="dxa"/>
            <w:right w:w="108" w:type="dxa"/>
          </w:tblCellMar>
        </w:tblPrEx>
        <w:trPr>
          <w:trHeight w:val="694" w:hRule="atLeast"/>
          <w:jc w:val="center"/>
        </w:trPr>
        <w:tc>
          <w:tcPr>
            <w:tcW w:w="2048" w:type="dxa"/>
            <w:noWrap w:val="0"/>
            <w:vAlign w:val="center"/>
          </w:tcPr>
          <w:p w14:paraId="23A7B999">
            <w:pPr>
              <w:pStyle w:val="10"/>
              <w:keepNext w:val="0"/>
              <w:keepLines w:val="0"/>
              <w:suppressLineNumbers w:val="0"/>
              <w:snapToGrid w:val="0"/>
              <w:spacing w:before="0" w:beforeAutospacing="0" w:after="0" w:afterAutospacing="0"/>
              <w:ind w:left="0" w:right="0"/>
              <w:jc w:val="center"/>
              <w:rPr>
                <w:rFonts w:hint="eastAsia" w:ascii="宋体" w:hAnsi="宋体" w:eastAsia="宋体" w:cs="宋体"/>
                <w:snapToGrid w:val="0"/>
                <w:color w:val="auto"/>
                <w:kern w:val="0"/>
                <w:sz w:val="32"/>
                <w:highlight w:val="none"/>
              </w:rPr>
            </w:pPr>
            <w:r>
              <w:rPr>
                <w:rFonts w:hint="eastAsia" w:ascii="宋体" w:hAnsi="宋体" w:eastAsia="宋体" w:cs="宋体"/>
                <w:snapToGrid w:val="0"/>
                <w:color w:val="auto"/>
                <w:kern w:val="0"/>
                <w:sz w:val="32"/>
                <w:highlight w:val="none"/>
              </w:rPr>
              <w:t>招标代理：</w:t>
            </w:r>
          </w:p>
        </w:tc>
        <w:tc>
          <w:tcPr>
            <w:tcW w:w="7051" w:type="dxa"/>
            <w:noWrap w:val="0"/>
            <w:vAlign w:val="center"/>
          </w:tcPr>
          <w:p w14:paraId="5996EF16">
            <w:pPr>
              <w:pStyle w:val="10"/>
              <w:keepNext w:val="0"/>
              <w:keepLines w:val="0"/>
              <w:suppressLineNumbers w:val="0"/>
              <w:snapToGrid w:val="0"/>
              <w:spacing w:before="0" w:beforeAutospacing="0" w:after="0" w:afterAutospacing="0"/>
              <w:ind w:left="0" w:right="0"/>
              <w:jc w:val="left"/>
              <w:rPr>
                <w:rFonts w:hint="eastAsia" w:ascii="宋体" w:hAnsi="宋体" w:eastAsia="宋体" w:cs="宋体"/>
                <w:snapToGrid w:val="0"/>
                <w:color w:val="auto"/>
                <w:kern w:val="0"/>
                <w:sz w:val="32"/>
                <w:highlight w:val="none"/>
              </w:rPr>
            </w:pPr>
            <w:r>
              <w:rPr>
                <w:rFonts w:hint="eastAsia" w:ascii="宋体" w:hAnsi="宋体" w:eastAsia="宋体" w:cs="宋体"/>
                <w:snapToGrid w:val="0"/>
                <w:color w:val="auto"/>
                <w:kern w:val="0"/>
                <w:sz w:val="32"/>
                <w:szCs w:val="32"/>
                <w:highlight w:val="none"/>
                <w:u w:val="single"/>
                <w:lang w:val="zh-CN"/>
              </w:rPr>
              <w:t>中冠工程管理咨询有限公司</w:t>
            </w:r>
            <w:r>
              <w:rPr>
                <w:rFonts w:hint="eastAsia" w:ascii="宋体" w:hAnsi="宋体" w:eastAsia="宋体" w:cs="宋体"/>
                <w:snapToGrid w:val="0"/>
                <w:color w:val="auto"/>
                <w:kern w:val="0"/>
                <w:sz w:val="32"/>
                <w:highlight w:val="none"/>
              </w:rPr>
              <w:t>（盖单位公章）</w:t>
            </w:r>
          </w:p>
        </w:tc>
      </w:tr>
      <w:tr w14:paraId="0461896B">
        <w:tblPrEx>
          <w:tblCellMar>
            <w:top w:w="0" w:type="dxa"/>
            <w:left w:w="108" w:type="dxa"/>
            <w:bottom w:w="0" w:type="dxa"/>
            <w:right w:w="108" w:type="dxa"/>
          </w:tblCellMar>
        </w:tblPrEx>
        <w:trPr>
          <w:trHeight w:val="694" w:hRule="atLeast"/>
          <w:jc w:val="center"/>
        </w:trPr>
        <w:tc>
          <w:tcPr>
            <w:tcW w:w="2048" w:type="dxa"/>
            <w:noWrap w:val="0"/>
            <w:vAlign w:val="center"/>
          </w:tcPr>
          <w:p w14:paraId="5FC6D9A6">
            <w:pPr>
              <w:pStyle w:val="10"/>
              <w:keepNext w:val="0"/>
              <w:keepLines w:val="0"/>
              <w:suppressLineNumbers w:val="0"/>
              <w:snapToGrid w:val="0"/>
              <w:spacing w:before="0" w:beforeAutospacing="0" w:after="0" w:afterAutospacing="0"/>
              <w:ind w:left="0" w:right="0"/>
              <w:jc w:val="center"/>
              <w:rPr>
                <w:rFonts w:hint="eastAsia" w:ascii="宋体" w:hAnsi="宋体" w:eastAsia="宋体" w:cs="宋体"/>
                <w:snapToGrid w:val="0"/>
                <w:color w:val="auto"/>
                <w:kern w:val="0"/>
                <w:sz w:val="32"/>
                <w:highlight w:val="none"/>
                <w:lang w:val="en-US" w:eastAsia="zh-CN"/>
              </w:rPr>
            </w:pPr>
          </w:p>
        </w:tc>
        <w:tc>
          <w:tcPr>
            <w:tcW w:w="7051" w:type="dxa"/>
            <w:noWrap w:val="0"/>
            <w:vAlign w:val="center"/>
          </w:tcPr>
          <w:p w14:paraId="7026B9D4">
            <w:pPr>
              <w:pStyle w:val="10"/>
              <w:keepNext w:val="0"/>
              <w:keepLines w:val="0"/>
              <w:suppressLineNumbers w:val="0"/>
              <w:snapToGrid w:val="0"/>
              <w:spacing w:before="0" w:beforeAutospacing="0" w:after="0" w:afterAutospacing="0"/>
              <w:ind w:left="0" w:right="0"/>
              <w:jc w:val="left"/>
              <w:rPr>
                <w:rFonts w:hint="eastAsia" w:ascii="宋体" w:hAnsi="宋体" w:eastAsia="宋体" w:cs="宋体"/>
                <w:snapToGrid w:val="0"/>
                <w:color w:val="auto"/>
                <w:kern w:val="0"/>
                <w:sz w:val="32"/>
                <w:highlight w:val="none"/>
                <w:u w:val="single"/>
                <w:lang w:val="en-US" w:eastAsia="zh-CN"/>
              </w:rPr>
            </w:pPr>
          </w:p>
        </w:tc>
      </w:tr>
      <w:tr w14:paraId="5E7B5355">
        <w:tblPrEx>
          <w:tblCellMar>
            <w:top w:w="0" w:type="dxa"/>
            <w:left w:w="108" w:type="dxa"/>
            <w:bottom w:w="0" w:type="dxa"/>
            <w:right w:w="108" w:type="dxa"/>
          </w:tblCellMar>
        </w:tblPrEx>
        <w:trPr>
          <w:trHeight w:val="562" w:hRule="atLeast"/>
          <w:jc w:val="center"/>
        </w:trPr>
        <w:tc>
          <w:tcPr>
            <w:tcW w:w="9099" w:type="dxa"/>
            <w:gridSpan w:val="2"/>
            <w:noWrap w:val="0"/>
            <w:vAlign w:val="center"/>
          </w:tcPr>
          <w:p w14:paraId="49448767">
            <w:pPr>
              <w:pStyle w:val="10"/>
              <w:keepNext w:val="0"/>
              <w:keepLines w:val="0"/>
              <w:suppressLineNumbers w:val="0"/>
              <w:snapToGrid w:val="0"/>
              <w:spacing w:before="0" w:beforeAutospacing="0" w:after="0" w:afterAutospacing="0"/>
              <w:ind w:left="0" w:right="0"/>
              <w:jc w:val="center"/>
              <w:rPr>
                <w:rFonts w:hint="eastAsia" w:ascii="宋体" w:hAnsi="宋体" w:eastAsia="宋体" w:cs="宋体"/>
                <w:snapToGrid w:val="0"/>
                <w:color w:val="auto"/>
                <w:kern w:val="0"/>
                <w:sz w:val="32"/>
                <w:highlight w:val="none"/>
                <w:lang w:val="en-US" w:eastAsia="zh-CN"/>
              </w:rPr>
            </w:pPr>
            <w:r>
              <w:rPr>
                <w:rFonts w:hint="eastAsia" w:ascii="宋体" w:hAnsi="宋体" w:eastAsia="宋体" w:cs="宋体"/>
                <w:snapToGrid w:val="0"/>
                <w:color w:val="auto"/>
                <w:sz w:val="32"/>
                <w:highlight w:val="none"/>
                <w:lang w:val="en-US" w:eastAsia="zh-CN"/>
              </w:rPr>
              <w:t>2024</w:t>
            </w:r>
            <w:r>
              <w:rPr>
                <w:rFonts w:hint="eastAsia" w:ascii="宋体" w:hAnsi="宋体" w:eastAsia="宋体" w:cs="宋体"/>
                <w:snapToGrid w:val="0"/>
                <w:color w:val="auto"/>
                <w:kern w:val="0"/>
                <w:sz w:val="32"/>
                <w:highlight w:val="none"/>
              </w:rPr>
              <w:t>年</w:t>
            </w:r>
            <w:r>
              <w:rPr>
                <w:rFonts w:hint="eastAsia" w:hAnsi="宋体" w:cs="宋体"/>
                <w:snapToGrid w:val="0"/>
                <w:color w:val="auto"/>
                <w:kern w:val="0"/>
                <w:sz w:val="32"/>
                <w:highlight w:val="none"/>
                <w:lang w:val="en-US" w:eastAsia="zh-CN"/>
              </w:rPr>
              <w:t>10</w:t>
            </w:r>
            <w:r>
              <w:rPr>
                <w:rFonts w:hint="eastAsia" w:ascii="宋体" w:hAnsi="宋体" w:eastAsia="宋体" w:cs="宋体"/>
                <w:snapToGrid w:val="0"/>
                <w:color w:val="auto"/>
                <w:kern w:val="0"/>
                <w:sz w:val="32"/>
                <w:highlight w:val="none"/>
              </w:rPr>
              <w:t>月</w:t>
            </w:r>
          </w:p>
        </w:tc>
      </w:tr>
    </w:tbl>
    <w:p w14:paraId="66C2EE82">
      <w:pPr>
        <w:spacing w:line="560" w:lineRule="exact"/>
        <w:jc w:val="center"/>
        <w:rPr>
          <w:rFonts w:hint="eastAsia" w:ascii="宋体" w:hAnsi="宋体" w:eastAsia="宋体" w:cs="宋体"/>
          <w:b/>
          <w:bCs/>
          <w:i w:val="0"/>
          <w:iCs w:val="0"/>
          <w:color w:val="auto"/>
          <w:sz w:val="44"/>
          <w:szCs w:val="44"/>
          <w:highlight w:val="none"/>
        </w:rPr>
      </w:pPr>
    </w:p>
    <w:p w14:paraId="3DB660D4">
      <w:pPr>
        <w:widowControl/>
        <w:jc w:val="left"/>
        <w:rPr>
          <w:rFonts w:hint="eastAsia" w:ascii="宋体" w:hAnsi="宋体" w:eastAsia="宋体" w:cs="宋体"/>
          <w:b/>
          <w:bCs/>
          <w:color w:val="auto"/>
          <w:sz w:val="32"/>
          <w:szCs w:val="32"/>
          <w:highlight w:val="none"/>
        </w:rPr>
        <w:sectPr>
          <w:headerReference r:id="rId3" w:type="default"/>
          <w:pgSz w:w="11906" w:h="16838"/>
          <w:pgMar w:top="2098" w:right="1474" w:bottom="1985" w:left="1588" w:header="851" w:footer="737" w:gutter="0"/>
          <w:cols w:space="720" w:num="1"/>
          <w:docGrid w:type="linesAndChars" w:linePitch="579" w:charSpace="-1683"/>
        </w:sectPr>
      </w:pPr>
    </w:p>
    <w:p w14:paraId="041D9952">
      <w:pPr>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目  录</w:t>
      </w:r>
    </w:p>
    <w:p w14:paraId="51E2359C">
      <w:pPr>
        <w:rPr>
          <w:rFonts w:hint="eastAsia" w:ascii="宋体" w:hAnsi="宋体" w:eastAsia="宋体" w:cs="宋体"/>
          <w:color w:val="auto"/>
          <w:highlight w:val="none"/>
        </w:rPr>
      </w:pPr>
    </w:p>
    <w:p w14:paraId="2953F928">
      <w:pPr>
        <w:pStyle w:val="16"/>
        <w:tabs>
          <w:tab w:val="right" w:leader="dot" w:pos="9061"/>
        </w:tabs>
        <w:spacing w:before="0" w:after="0" w:line="360" w:lineRule="auto"/>
        <w:rPr>
          <w:rFonts w:hint="eastAsia"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"1-2" \h \u </w:instrText>
      </w:r>
      <w:r>
        <w:rPr>
          <w:rFonts w:hint="eastAsia" w:ascii="宋体" w:hAnsi="宋体" w:eastAsia="宋体" w:cs="宋体"/>
          <w:b w:val="0"/>
          <w:bCs w:val="0"/>
          <w:color w:val="auto"/>
          <w:sz w:val="24"/>
          <w:szCs w:val="24"/>
          <w:highlight w:val="none"/>
        </w:rPr>
        <w:fldChar w:fldCharType="separate"/>
      </w:r>
      <w:r>
        <w:rPr>
          <w:rStyle w:val="29"/>
          <w:rFonts w:hint="eastAsia" w:ascii="宋体" w:hAnsi="宋体" w:eastAsia="宋体" w:cs="宋体"/>
          <w:b w:val="0"/>
          <w:bCs w:val="0"/>
          <w:color w:val="auto"/>
          <w:sz w:val="24"/>
          <w:szCs w:val="24"/>
          <w:highlight w:val="none"/>
        </w:rPr>
        <w:fldChar w:fldCharType="begin"/>
      </w:r>
      <w:r>
        <w:rPr>
          <w:rStyle w:val="29"/>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"_Toc83886013"</w:instrText>
      </w:r>
      <w:r>
        <w:rPr>
          <w:rStyle w:val="29"/>
          <w:rFonts w:hint="eastAsia" w:ascii="宋体" w:hAnsi="宋体" w:eastAsia="宋体" w:cs="宋体"/>
          <w:b w:val="0"/>
          <w:bCs w:val="0"/>
          <w:color w:val="auto"/>
          <w:sz w:val="24"/>
          <w:szCs w:val="24"/>
          <w:highlight w:val="none"/>
        </w:rPr>
        <w:instrText xml:space="preserve"> </w:instrText>
      </w:r>
      <w:r>
        <w:rPr>
          <w:rStyle w:val="29"/>
          <w:rFonts w:hint="eastAsia" w:ascii="宋体" w:hAnsi="宋体" w:eastAsia="宋体" w:cs="宋体"/>
          <w:b w:val="0"/>
          <w:bCs w:val="0"/>
          <w:color w:val="auto"/>
          <w:sz w:val="24"/>
          <w:szCs w:val="24"/>
          <w:highlight w:val="none"/>
        </w:rPr>
        <w:fldChar w:fldCharType="separate"/>
      </w:r>
      <w:r>
        <w:rPr>
          <w:rStyle w:val="29"/>
          <w:rFonts w:hint="eastAsia" w:ascii="宋体" w:hAnsi="宋体" w:eastAsia="宋体" w:cs="宋体"/>
          <w:b w:val="0"/>
          <w:bCs w:val="0"/>
          <w:color w:val="auto"/>
          <w:sz w:val="24"/>
          <w:szCs w:val="24"/>
          <w:highlight w:val="none"/>
        </w:rPr>
        <w:t>第一章  招标公告</w:t>
      </w:r>
      <w:r>
        <w:rPr>
          <w:rFonts w:hint="eastAsia" w:ascii="宋体" w:hAnsi="宋体" w:eastAsia="宋体" w:cs="宋体"/>
          <w:b w:val="0"/>
          <w:bCs w:val="0"/>
          <w:color w:val="auto"/>
          <w:sz w:val="24"/>
          <w:szCs w:val="24"/>
          <w:highlight w:val="none"/>
        </w:rPr>
        <w:tab/>
      </w:r>
      <w:r>
        <w:rPr>
          <w:rStyle w:val="29"/>
          <w:rFonts w:hint="eastAsia" w:ascii="宋体" w:hAnsi="宋体" w:eastAsia="宋体" w:cs="宋体"/>
          <w:b w:val="0"/>
          <w:bCs w:val="0"/>
          <w:color w:val="auto"/>
          <w:sz w:val="24"/>
          <w:szCs w:val="24"/>
          <w:highlight w:val="none"/>
        </w:rPr>
        <w:fldChar w:fldCharType="end"/>
      </w:r>
      <w:r>
        <w:rPr>
          <w:rStyle w:val="29"/>
          <w:rFonts w:hint="eastAsia" w:ascii="宋体" w:hAnsi="宋体" w:eastAsia="宋体" w:cs="宋体"/>
          <w:b w:val="0"/>
          <w:bCs w:val="0"/>
          <w:color w:val="auto"/>
          <w:sz w:val="24"/>
          <w:szCs w:val="24"/>
          <w:highlight w:val="none"/>
          <w:lang w:val="en-US" w:eastAsia="zh-CN"/>
        </w:rPr>
        <w:t>2</w:t>
      </w:r>
    </w:p>
    <w:p w14:paraId="75E9AB00">
      <w:pPr>
        <w:pStyle w:val="18"/>
        <w:tabs>
          <w:tab w:val="right" w:leader="dot" w:pos="9061"/>
        </w:tabs>
        <w:spacing w:line="360" w:lineRule="auto"/>
        <w:ind w:left="0" w:leftChars="0" w:firstLine="0" w:firstLineChars="0"/>
        <w:rPr>
          <w:rStyle w:val="29"/>
          <w:rFonts w:hint="eastAsia" w:ascii="宋体" w:hAnsi="宋体" w:eastAsia="宋体" w:cs="宋体"/>
          <w:color w:val="auto"/>
          <w:sz w:val="24"/>
          <w:szCs w:val="24"/>
          <w:highlight w:val="none"/>
          <w:lang w:val="en-US" w:eastAsia="zh-CN"/>
        </w:rPr>
      </w:pPr>
      <w:r>
        <w:rPr>
          <w:rStyle w:val="29"/>
          <w:rFonts w:hint="eastAsia" w:ascii="宋体" w:hAnsi="宋体" w:eastAsia="宋体" w:cs="宋体"/>
          <w:color w:val="auto"/>
          <w:sz w:val="24"/>
          <w:szCs w:val="24"/>
          <w:highlight w:val="none"/>
          <w:u w:val="none"/>
        </w:rPr>
        <w:t xml:space="preserve">第二章  </w:t>
      </w:r>
      <w:r>
        <w:rPr>
          <w:rStyle w:val="29"/>
          <w:rFonts w:hint="eastAsia" w:ascii="宋体" w:hAnsi="宋体" w:eastAsia="宋体" w:cs="宋体"/>
          <w:color w:val="auto"/>
          <w:sz w:val="24"/>
          <w:szCs w:val="24"/>
          <w:highlight w:val="none"/>
        </w:rPr>
        <w:fldChar w:fldCharType="begin"/>
      </w:r>
      <w:r>
        <w:rPr>
          <w:rStyle w:val="29"/>
          <w:rFonts w:hint="eastAsia" w:ascii="宋体" w:hAnsi="宋体" w:eastAsia="宋体" w:cs="宋体"/>
          <w:color w:val="auto"/>
          <w:sz w:val="24"/>
          <w:szCs w:val="24"/>
          <w:highlight w:val="none"/>
        </w:rPr>
        <w:instrText xml:space="preserve"> </w:instrText>
      </w:r>
      <w:r>
        <w:rPr>
          <w:rFonts w:hint="eastAsia" w:ascii="宋体" w:hAnsi="宋体" w:eastAsia="宋体" w:cs="宋体"/>
          <w:color w:val="auto"/>
          <w:sz w:val="24"/>
          <w:szCs w:val="24"/>
          <w:highlight w:val="none"/>
        </w:rPr>
        <w:instrText xml:space="preserve">HYPERLINK \l "_Toc83886014"</w:instrText>
      </w:r>
      <w:r>
        <w:rPr>
          <w:rStyle w:val="29"/>
          <w:rFonts w:hint="eastAsia" w:ascii="宋体" w:hAnsi="宋体" w:eastAsia="宋体" w:cs="宋体"/>
          <w:color w:val="auto"/>
          <w:sz w:val="24"/>
          <w:szCs w:val="24"/>
          <w:highlight w:val="none"/>
        </w:rPr>
        <w:instrText xml:space="preserve"> </w:instrText>
      </w:r>
      <w:r>
        <w:rPr>
          <w:rStyle w:val="29"/>
          <w:rFonts w:hint="eastAsia" w:ascii="宋体" w:hAnsi="宋体" w:eastAsia="宋体" w:cs="宋体"/>
          <w:color w:val="auto"/>
          <w:sz w:val="24"/>
          <w:szCs w:val="24"/>
          <w:highlight w:val="none"/>
        </w:rPr>
        <w:fldChar w:fldCharType="separate"/>
      </w:r>
      <w:r>
        <w:rPr>
          <w:rStyle w:val="29"/>
          <w:rFonts w:hint="eastAsia" w:ascii="宋体" w:hAnsi="宋体" w:eastAsia="宋体" w:cs="宋体"/>
          <w:color w:val="auto"/>
          <w:kern w:val="0"/>
          <w:sz w:val="24"/>
          <w:szCs w:val="24"/>
          <w:highlight w:val="none"/>
        </w:rPr>
        <w:t>投标人须知</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含前附表</w:t>
      </w:r>
      <w:r>
        <w:rPr>
          <w:rStyle w:val="29"/>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rPr>
        <w:tab/>
      </w:r>
      <w:r>
        <w:rPr>
          <w:rStyle w:val="29"/>
          <w:rFonts w:hint="eastAsia" w:ascii="宋体" w:hAnsi="宋体" w:eastAsia="宋体" w:cs="宋体"/>
          <w:color w:val="auto"/>
          <w:sz w:val="24"/>
          <w:szCs w:val="24"/>
          <w:highlight w:val="none"/>
        </w:rPr>
        <w:fldChar w:fldCharType="end"/>
      </w:r>
      <w:r>
        <w:rPr>
          <w:rStyle w:val="29"/>
          <w:rFonts w:hint="eastAsia" w:ascii="宋体" w:hAnsi="宋体" w:eastAsia="宋体" w:cs="宋体"/>
          <w:color w:val="auto"/>
          <w:sz w:val="24"/>
          <w:szCs w:val="24"/>
          <w:highlight w:val="none"/>
          <w:lang w:val="en-US" w:eastAsia="zh-CN"/>
        </w:rPr>
        <w:t>6</w:t>
      </w:r>
    </w:p>
    <w:p w14:paraId="627AE366">
      <w:pPr>
        <w:pStyle w:val="16"/>
        <w:tabs>
          <w:tab w:val="right" w:leader="dot" w:pos="9061"/>
        </w:tabs>
        <w:spacing w:before="0" w:after="0" w:line="360" w:lineRule="auto"/>
        <w:rPr>
          <w:rFonts w:hint="eastAsia" w:ascii="宋体" w:hAnsi="宋体" w:eastAsia="宋体" w:cs="宋体"/>
          <w:b w:val="0"/>
          <w:bCs w:val="0"/>
          <w:caps w:val="0"/>
          <w:color w:val="auto"/>
          <w:sz w:val="24"/>
          <w:szCs w:val="24"/>
          <w:highlight w:val="none"/>
          <w:lang w:val="en-US" w:eastAsia="zh-CN"/>
        </w:rPr>
      </w:pPr>
      <w:r>
        <w:rPr>
          <w:rStyle w:val="29"/>
          <w:rFonts w:hint="eastAsia" w:ascii="宋体" w:hAnsi="宋体" w:eastAsia="宋体" w:cs="宋体"/>
          <w:b w:val="0"/>
          <w:bCs w:val="0"/>
          <w:color w:val="auto"/>
          <w:sz w:val="24"/>
          <w:szCs w:val="24"/>
          <w:highlight w:val="none"/>
        </w:rPr>
        <w:fldChar w:fldCharType="begin"/>
      </w:r>
      <w:r>
        <w:rPr>
          <w:rStyle w:val="29"/>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"_Toc83886026"</w:instrText>
      </w:r>
      <w:r>
        <w:rPr>
          <w:rStyle w:val="29"/>
          <w:rFonts w:hint="eastAsia" w:ascii="宋体" w:hAnsi="宋体" w:eastAsia="宋体" w:cs="宋体"/>
          <w:b w:val="0"/>
          <w:bCs w:val="0"/>
          <w:color w:val="auto"/>
          <w:sz w:val="24"/>
          <w:szCs w:val="24"/>
          <w:highlight w:val="none"/>
        </w:rPr>
        <w:instrText xml:space="preserve"> </w:instrText>
      </w:r>
      <w:r>
        <w:rPr>
          <w:rStyle w:val="29"/>
          <w:rFonts w:hint="eastAsia" w:ascii="宋体" w:hAnsi="宋体" w:eastAsia="宋体" w:cs="宋体"/>
          <w:b w:val="0"/>
          <w:bCs w:val="0"/>
          <w:color w:val="auto"/>
          <w:sz w:val="24"/>
          <w:szCs w:val="24"/>
          <w:highlight w:val="none"/>
        </w:rPr>
        <w:fldChar w:fldCharType="separate"/>
      </w:r>
      <w:r>
        <w:rPr>
          <w:rStyle w:val="29"/>
          <w:rFonts w:hint="eastAsia" w:ascii="宋体" w:hAnsi="宋体" w:eastAsia="宋体" w:cs="宋体"/>
          <w:b w:val="0"/>
          <w:bCs w:val="0"/>
          <w:color w:val="auto"/>
          <w:sz w:val="24"/>
          <w:szCs w:val="24"/>
          <w:highlight w:val="none"/>
        </w:rPr>
        <w:t>第三章  用户需求</w:t>
      </w:r>
      <w:r>
        <w:rPr>
          <w:rStyle w:val="29"/>
          <w:rFonts w:hint="eastAsia" w:ascii="宋体" w:hAnsi="宋体" w:eastAsia="宋体" w:cs="宋体"/>
          <w:b w:val="0"/>
          <w:bCs w:val="0"/>
          <w:color w:val="auto"/>
          <w:sz w:val="24"/>
          <w:szCs w:val="24"/>
          <w:highlight w:val="none"/>
          <w:lang w:val="en-US" w:eastAsia="zh-CN"/>
        </w:rPr>
        <w:t>和技术要求</w:t>
      </w:r>
      <w:r>
        <w:rPr>
          <w:rFonts w:hint="eastAsia" w:ascii="宋体" w:hAnsi="宋体" w:eastAsia="宋体" w:cs="宋体"/>
          <w:b w:val="0"/>
          <w:bCs w:val="0"/>
          <w:color w:val="auto"/>
          <w:sz w:val="24"/>
          <w:szCs w:val="24"/>
          <w:highlight w:val="none"/>
        </w:rPr>
        <w:tab/>
      </w:r>
      <w:r>
        <w:rPr>
          <w:rStyle w:val="29"/>
          <w:rFonts w:hint="eastAsia" w:ascii="宋体" w:hAnsi="宋体" w:eastAsia="宋体" w:cs="宋体"/>
          <w:b w:val="0"/>
          <w:bCs w:val="0"/>
          <w:color w:val="auto"/>
          <w:sz w:val="24"/>
          <w:szCs w:val="24"/>
          <w:highlight w:val="none"/>
        </w:rPr>
        <w:fldChar w:fldCharType="end"/>
      </w:r>
      <w:r>
        <w:rPr>
          <w:rStyle w:val="29"/>
          <w:rFonts w:hint="eastAsia" w:ascii="宋体" w:hAnsi="宋体" w:eastAsia="宋体" w:cs="宋体"/>
          <w:b w:val="0"/>
          <w:bCs w:val="0"/>
          <w:color w:val="auto"/>
          <w:sz w:val="24"/>
          <w:szCs w:val="24"/>
          <w:highlight w:val="none"/>
          <w:lang w:val="en-US" w:eastAsia="zh-CN"/>
        </w:rPr>
        <w:t>23</w:t>
      </w:r>
    </w:p>
    <w:p w14:paraId="44115BC7">
      <w:pPr>
        <w:pStyle w:val="16"/>
        <w:tabs>
          <w:tab w:val="right" w:leader="dot" w:pos="9061"/>
        </w:tabs>
        <w:spacing w:before="0" w:after="0" w:line="360" w:lineRule="auto"/>
        <w:rPr>
          <w:rFonts w:hint="eastAsia" w:ascii="宋体" w:hAnsi="宋体" w:eastAsia="宋体" w:cs="宋体"/>
          <w:b w:val="0"/>
          <w:bCs w:val="0"/>
          <w:caps w:val="0"/>
          <w:color w:val="auto"/>
          <w:sz w:val="24"/>
          <w:szCs w:val="24"/>
          <w:highlight w:val="none"/>
          <w:lang w:val="en-US" w:eastAsia="zh-CN"/>
        </w:rPr>
      </w:pPr>
      <w:r>
        <w:rPr>
          <w:rStyle w:val="29"/>
          <w:rFonts w:hint="eastAsia" w:ascii="宋体" w:hAnsi="宋体" w:eastAsia="宋体" w:cs="宋体"/>
          <w:b w:val="0"/>
          <w:bCs w:val="0"/>
          <w:color w:val="auto"/>
          <w:sz w:val="24"/>
          <w:szCs w:val="24"/>
          <w:highlight w:val="none"/>
        </w:rPr>
        <w:fldChar w:fldCharType="begin"/>
      </w:r>
      <w:r>
        <w:rPr>
          <w:rStyle w:val="29"/>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"_Toc83886029"</w:instrText>
      </w:r>
      <w:r>
        <w:rPr>
          <w:rStyle w:val="29"/>
          <w:rFonts w:hint="eastAsia" w:ascii="宋体" w:hAnsi="宋体" w:eastAsia="宋体" w:cs="宋体"/>
          <w:b w:val="0"/>
          <w:bCs w:val="0"/>
          <w:color w:val="auto"/>
          <w:sz w:val="24"/>
          <w:szCs w:val="24"/>
          <w:highlight w:val="none"/>
        </w:rPr>
        <w:instrText xml:space="preserve"> </w:instrText>
      </w:r>
      <w:r>
        <w:rPr>
          <w:rStyle w:val="29"/>
          <w:rFonts w:hint="eastAsia" w:ascii="宋体" w:hAnsi="宋体" w:eastAsia="宋体" w:cs="宋体"/>
          <w:b w:val="0"/>
          <w:bCs w:val="0"/>
          <w:color w:val="auto"/>
          <w:sz w:val="24"/>
          <w:szCs w:val="24"/>
          <w:highlight w:val="none"/>
        </w:rPr>
        <w:fldChar w:fldCharType="separate"/>
      </w:r>
      <w:r>
        <w:rPr>
          <w:rStyle w:val="29"/>
          <w:rFonts w:hint="eastAsia" w:ascii="宋体" w:hAnsi="宋体" w:eastAsia="宋体" w:cs="宋体"/>
          <w:b w:val="0"/>
          <w:bCs w:val="0"/>
          <w:color w:val="auto"/>
          <w:sz w:val="24"/>
          <w:szCs w:val="24"/>
          <w:highlight w:val="none"/>
        </w:rPr>
        <w:t>第四章  评标方法及</w:t>
      </w:r>
      <w:bookmarkStart w:id="1" w:name="_Hlt98859654"/>
      <w:r>
        <w:rPr>
          <w:rStyle w:val="29"/>
          <w:rFonts w:hint="eastAsia" w:ascii="宋体" w:hAnsi="宋体" w:eastAsia="宋体" w:cs="宋体"/>
          <w:b w:val="0"/>
          <w:bCs w:val="0"/>
          <w:color w:val="auto"/>
          <w:sz w:val="24"/>
          <w:szCs w:val="24"/>
          <w:highlight w:val="none"/>
        </w:rPr>
        <w:t>评</w:t>
      </w:r>
      <w:bookmarkEnd w:id="1"/>
      <w:r>
        <w:rPr>
          <w:rStyle w:val="29"/>
          <w:rFonts w:hint="eastAsia" w:ascii="宋体" w:hAnsi="宋体" w:eastAsia="宋体" w:cs="宋体"/>
          <w:b w:val="0"/>
          <w:bCs w:val="0"/>
          <w:color w:val="auto"/>
          <w:sz w:val="24"/>
          <w:szCs w:val="24"/>
          <w:highlight w:val="none"/>
        </w:rPr>
        <w:t>价标准</w:t>
      </w:r>
      <w:r>
        <w:rPr>
          <w:rFonts w:hint="eastAsia" w:ascii="宋体" w:hAnsi="宋体" w:eastAsia="宋体" w:cs="宋体"/>
          <w:b w:val="0"/>
          <w:bCs w:val="0"/>
          <w:color w:val="auto"/>
          <w:sz w:val="24"/>
          <w:szCs w:val="24"/>
          <w:highlight w:val="none"/>
        </w:rPr>
        <w:tab/>
      </w:r>
      <w:r>
        <w:rPr>
          <w:rStyle w:val="29"/>
          <w:rFonts w:hint="eastAsia" w:ascii="宋体" w:hAnsi="宋体" w:eastAsia="宋体" w:cs="宋体"/>
          <w:b w:val="0"/>
          <w:bCs w:val="0"/>
          <w:color w:val="auto"/>
          <w:sz w:val="24"/>
          <w:szCs w:val="24"/>
          <w:highlight w:val="none"/>
        </w:rPr>
        <w:fldChar w:fldCharType="end"/>
      </w:r>
      <w:r>
        <w:rPr>
          <w:rStyle w:val="29"/>
          <w:rFonts w:hint="eastAsia" w:ascii="宋体" w:hAnsi="宋体" w:eastAsia="宋体" w:cs="宋体"/>
          <w:b w:val="0"/>
          <w:bCs w:val="0"/>
          <w:color w:val="auto"/>
          <w:sz w:val="24"/>
          <w:szCs w:val="24"/>
          <w:highlight w:val="none"/>
          <w:lang w:val="en-US" w:eastAsia="zh-CN"/>
        </w:rPr>
        <w:t>26</w:t>
      </w:r>
    </w:p>
    <w:p w14:paraId="693F5B0C">
      <w:pPr>
        <w:pStyle w:val="16"/>
        <w:tabs>
          <w:tab w:val="right" w:leader="dot" w:pos="9061"/>
        </w:tabs>
        <w:spacing w:before="0" w:after="0" w:line="360" w:lineRule="auto"/>
        <w:rPr>
          <w:rFonts w:hint="eastAsia" w:ascii="宋体" w:hAnsi="宋体" w:eastAsia="宋体" w:cs="宋体"/>
          <w:b w:val="0"/>
          <w:bCs w:val="0"/>
          <w:caps w:val="0"/>
          <w:color w:val="auto"/>
          <w:sz w:val="24"/>
          <w:szCs w:val="24"/>
          <w:highlight w:val="none"/>
          <w:lang w:val="en-US" w:eastAsia="zh-CN"/>
        </w:rPr>
      </w:pPr>
      <w:r>
        <w:rPr>
          <w:rStyle w:val="29"/>
          <w:rFonts w:hint="eastAsia" w:ascii="宋体" w:hAnsi="宋体" w:eastAsia="宋体" w:cs="宋体"/>
          <w:b w:val="0"/>
          <w:bCs w:val="0"/>
          <w:color w:val="auto"/>
          <w:sz w:val="24"/>
          <w:szCs w:val="24"/>
          <w:highlight w:val="none"/>
        </w:rPr>
        <w:fldChar w:fldCharType="begin"/>
      </w:r>
      <w:r>
        <w:rPr>
          <w:rStyle w:val="29"/>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"_Toc83886039"</w:instrText>
      </w:r>
      <w:r>
        <w:rPr>
          <w:rStyle w:val="29"/>
          <w:rFonts w:hint="eastAsia" w:ascii="宋体" w:hAnsi="宋体" w:eastAsia="宋体" w:cs="宋体"/>
          <w:b w:val="0"/>
          <w:bCs w:val="0"/>
          <w:color w:val="auto"/>
          <w:sz w:val="24"/>
          <w:szCs w:val="24"/>
          <w:highlight w:val="none"/>
        </w:rPr>
        <w:instrText xml:space="preserve"> </w:instrText>
      </w:r>
      <w:r>
        <w:rPr>
          <w:rStyle w:val="29"/>
          <w:rFonts w:hint="eastAsia" w:ascii="宋体" w:hAnsi="宋体" w:eastAsia="宋体" w:cs="宋体"/>
          <w:b w:val="0"/>
          <w:bCs w:val="0"/>
          <w:color w:val="auto"/>
          <w:sz w:val="24"/>
          <w:szCs w:val="24"/>
          <w:highlight w:val="none"/>
        </w:rPr>
        <w:fldChar w:fldCharType="separate"/>
      </w:r>
      <w:r>
        <w:rPr>
          <w:rStyle w:val="29"/>
          <w:rFonts w:hint="eastAsia" w:ascii="宋体" w:hAnsi="宋体" w:eastAsia="宋体" w:cs="宋体"/>
          <w:b w:val="0"/>
          <w:bCs w:val="0"/>
          <w:color w:val="auto"/>
          <w:sz w:val="24"/>
          <w:szCs w:val="24"/>
          <w:highlight w:val="none"/>
        </w:rPr>
        <w:t>第五章  投标文件格式</w:t>
      </w:r>
      <w:r>
        <w:rPr>
          <w:rFonts w:hint="eastAsia" w:ascii="宋体" w:hAnsi="宋体" w:eastAsia="宋体" w:cs="宋体"/>
          <w:b w:val="0"/>
          <w:bCs w:val="0"/>
          <w:color w:val="auto"/>
          <w:sz w:val="24"/>
          <w:szCs w:val="24"/>
          <w:highlight w:val="none"/>
        </w:rPr>
        <w:tab/>
      </w:r>
      <w:r>
        <w:rPr>
          <w:rStyle w:val="29"/>
          <w:rFonts w:hint="eastAsia" w:ascii="宋体" w:hAnsi="宋体" w:eastAsia="宋体" w:cs="宋体"/>
          <w:b w:val="0"/>
          <w:bCs w:val="0"/>
          <w:color w:val="auto"/>
          <w:sz w:val="24"/>
          <w:szCs w:val="24"/>
          <w:highlight w:val="none"/>
        </w:rPr>
        <w:fldChar w:fldCharType="end"/>
      </w:r>
      <w:r>
        <w:rPr>
          <w:rStyle w:val="29"/>
          <w:rFonts w:hint="eastAsia" w:ascii="宋体" w:hAnsi="宋体" w:eastAsia="宋体" w:cs="宋体"/>
          <w:b w:val="0"/>
          <w:bCs w:val="0"/>
          <w:color w:val="auto"/>
          <w:sz w:val="24"/>
          <w:szCs w:val="24"/>
          <w:highlight w:val="none"/>
          <w:lang w:val="en-US" w:eastAsia="zh-CN"/>
        </w:rPr>
        <w:t>31</w:t>
      </w:r>
    </w:p>
    <w:p w14:paraId="372CBDF4">
      <w:pPr>
        <w:pStyle w:val="16"/>
        <w:tabs>
          <w:tab w:val="right" w:leader="dot" w:pos="9061"/>
        </w:tabs>
        <w:spacing w:before="0" w:after="0" w:line="360" w:lineRule="auto"/>
        <w:rPr>
          <w:rFonts w:hint="eastAsia" w:ascii="宋体" w:hAnsi="宋体" w:eastAsia="宋体" w:cs="宋体"/>
          <w:b w:val="0"/>
          <w:bCs w:val="0"/>
          <w:caps w:val="0"/>
          <w:color w:val="auto"/>
          <w:sz w:val="24"/>
          <w:szCs w:val="24"/>
          <w:highlight w:val="none"/>
          <w:lang w:val="en-US" w:eastAsia="zh-CN"/>
        </w:rPr>
      </w:pPr>
      <w:r>
        <w:rPr>
          <w:rStyle w:val="29"/>
          <w:rFonts w:hint="eastAsia" w:ascii="宋体" w:hAnsi="宋体" w:eastAsia="宋体" w:cs="宋体"/>
          <w:b w:val="0"/>
          <w:bCs w:val="0"/>
          <w:color w:val="auto"/>
          <w:sz w:val="24"/>
          <w:szCs w:val="24"/>
          <w:highlight w:val="none"/>
        </w:rPr>
        <w:fldChar w:fldCharType="begin"/>
      </w:r>
      <w:r>
        <w:rPr>
          <w:rStyle w:val="29"/>
          <w:rFonts w:hint="eastAsia" w:ascii="宋体" w:hAnsi="宋体" w:eastAsia="宋体" w:cs="宋体"/>
          <w:b w:val="0"/>
          <w:bCs w:val="0"/>
          <w:color w:val="auto"/>
          <w:sz w:val="24"/>
          <w:szCs w:val="24"/>
          <w:highlight w:val="none"/>
        </w:rPr>
        <w:instrText xml:space="preserve"> </w:instrText>
      </w:r>
      <w:r>
        <w:rPr>
          <w:rFonts w:hint="eastAsia" w:ascii="宋体" w:hAnsi="宋体" w:eastAsia="宋体" w:cs="宋体"/>
          <w:b w:val="0"/>
          <w:bCs w:val="0"/>
          <w:color w:val="auto"/>
          <w:sz w:val="24"/>
          <w:szCs w:val="24"/>
          <w:highlight w:val="none"/>
        </w:rPr>
        <w:instrText xml:space="preserve">HYPERLINK \l "_Toc83886047"</w:instrText>
      </w:r>
      <w:r>
        <w:rPr>
          <w:rStyle w:val="29"/>
          <w:rFonts w:hint="eastAsia" w:ascii="宋体" w:hAnsi="宋体" w:eastAsia="宋体" w:cs="宋体"/>
          <w:b w:val="0"/>
          <w:bCs w:val="0"/>
          <w:color w:val="auto"/>
          <w:sz w:val="24"/>
          <w:szCs w:val="24"/>
          <w:highlight w:val="none"/>
        </w:rPr>
        <w:instrText xml:space="preserve"> </w:instrText>
      </w:r>
      <w:r>
        <w:rPr>
          <w:rStyle w:val="29"/>
          <w:rFonts w:hint="eastAsia" w:ascii="宋体" w:hAnsi="宋体" w:eastAsia="宋体" w:cs="宋体"/>
          <w:b w:val="0"/>
          <w:bCs w:val="0"/>
          <w:color w:val="auto"/>
          <w:sz w:val="24"/>
          <w:szCs w:val="24"/>
          <w:highlight w:val="none"/>
        </w:rPr>
        <w:fldChar w:fldCharType="separate"/>
      </w:r>
      <w:r>
        <w:rPr>
          <w:rStyle w:val="29"/>
          <w:rFonts w:hint="eastAsia" w:ascii="宋体" w:hAnsi="宋体" w:eastAsia="宋体" w:cs="宋体"/>
          <w:b w:val="0"/>
          <w:bCs w:val="0"/>
          <w:color w:val="auto"/>
          <w:sz w:val="24"/>
          <w:szCs w:val="24"/>
          <w:highlight w:val="none"/>
        </w:rPr>
        <w:t>第六章  合同条款及格式</w:t>
      </w:r>
      <w:r>
        <w:rPr>
          <w:rFonts w:hint="eastAsia" w:ascii="宋体" w:hAnsi="宋体" w:eastAsia="宋体" w:cs="宋体"/>
          <w:b w:val="0"/>
          <w:bCs w:val="0"/>
          <w:color w:val="auto"/>
          <w:sz w:val="24"/>
          <w:szCs w:val="24"/>
          <w:highlight w:val="none"/>
        </w:rPr>
        <w:tab/>
      </w:r>
      <w:r>
        <w:rPr>
          <w:rStyle w:val="29"/>
          <w:rFonts w:hint="eastAsia" w:ascii="宋体" w:hAnsi="宋体" w:eastAsia="宋体" w:cs="宋体"/>
          <w:b w:val="0"/>
          <w:bCs w:val="0"/>
          <w:color w:val="auto"/>
          <w:sz w:val="24"/>
          <w:szCs w:val="24"/>
          <w:highlight w:val="none"/>
        </w:rPr>
        <w:fldChar w:fldCharType="end"/>
      </w:r>
      <w:r>
        <w:rPr>
          <w:rStyle w:val="29"/>
          <w:rFonts w:hint="eastAsia" w:ascii="宋体" w:hAnsi="宋体" w:eastAsia="宋体" w:cs="宋体"/>
          <w:b w:val="0"/>
          <w:bCs w:val="0"/>
          <w:color w:val="auto"/>
          <w:sz w:val="24"/>
          <w:szCs w:val="24"/>
          <w:highlight w:val="none"/>
          <w:lang w:val="en-US" w:eastAsia="zh-CN"/>
        </w:rPr>
        <w:t>52</w:t>
      </w:r>
    </w:p>
    <w:p w14:paraId="4FD1E6CE">
      <w:pPr>
        <w:widowControl/>
        <w:spacing w:line="480" w:lineRule="exact"/>
        <w:jc w:val="center"/>
        <w:outlineLvl w:val="9"/>
        <w:rPr>
          <w:rFonts w:hint="eastAsia" w:ascii="宋体" w:hAnsi="宋体" w:eastAsia="宋体" w:cs="宋体"/>
          <w:color w:val="auto"/>
          <w:sz w:val="24"/>
          <w:highlight w:val="none"/>
        </w:rPr>
        <w:sectPr>
          <w:headerReference r:id="rId6" w:type="first"/>
          <w:headerReference r:id="rId4" w:type="default"/>
          <w:footerReference r:id="rId7" w:type="default"/>
          <w:headerReference r:id="rId5" w:type="even"/>
          <w:footerReference r:id="rId8" w:type="even"/>
          <w:pgSz w:w="11906" w:h="16838"/>
          <w:pgMar w:top="1440" w:right="1080" w:bottom="1440" w:left="1080" w:header="0" w:footer="714" w:gutter="0"/>
          <w:pgNumType w:fmt="decimal" w:start="1"/>
          <w:cols w:space="720" w:num="1"/>
          <w:docGrid w:linePitch="286" w:charSpace="0"/>
        </w:sectPr>
      </w:pPr>
      <w:r>
        <w:rPr>
          <w:rFonts w:hint="eastAsia" w:ascii="宋体" w:hAnsi="宋体" w:eastAsia="宋体" w:cs="宋体"/>
          <w:color w:val="auto"/>
          <w:sz w:val="24"/>
          <w:highlight w:val="none"/>
        </w:rPr>
        <w:fldChar w:fldCharType="end"/>
      </w:r>
    </w:p>
    <w:p w14:paraId="7DC1C6DC">
      <w:pPr>
        <w:widowControl/>
        <w:spacing w:line="480" w:lineRule="exact"/>
        <w:jc w:val="center"/>
        <w:outlineLvl w:val="0"/>
        <w:rPr>
          <w:rFonts w:hint="eastAsia" w:ascii="宋体" w:hAnsi="宋体" w:eastAsia="宋体" w:cs="宋体"/>
          <w:b w:val="0"/>
          <w:bCs w:val="0"/>
          <w:color w:val="auto"/>
          <w:kern w:val="0"/>
          <w:sz w:val="32"/>
          <w:szCs w:val="32"/>
          <w:highlight w:val="none"/>
        </w:rPr>
      </w:pPr>
      <w:r>
        <w:rPr>
          <w:rFonts w:hint="eastAsia" w:ascii="宋体" w:hAnsi="宋体" w:eastAsia="宋体" w:cs="宋体"/>
          <w:b w:val="0"/>
          <w:bCs w:val="0"/>
          <w:color w:val="auto"/>
          <w:kern w:val="0"/>
          <w:sz w:val="32"/>
          <w:szCs w:val="32"/>
          <w:highlight w:val="none"/>
        </w:rPr>
        <w:t>第一章 招标公告</w:t>
      </w:r>
    </w:p>
    <w:p w14:paraId="358ADEA0">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14:paraId="44FAE8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招标人</w:t>
      </w:r>
      <w:r>
        <w:rPr>
          <w:rFonts w:hint="eastAsia" w:ascii="宋体" w:hAnsi="宋体" w:eastAsia="宋体" w:cs="宋体"/>
          <w:b w:val="0"/>
          <w:color w:val="auto"/>
          <w:sz w:val="24"/>
          <w:szCs w:val="24"/>
          <w:highlight w:val="none"/>
          <w:u w:val="single"/>
          <w:lang w:eastAsia="zh-CN"/>
        </w:rPr>
        <w:t>杭州市环境集团有限公司</w:t>
      </w:r>
      <w:r>
        <w:rPr>
          <w:rFonts w:hint="eastAsia" w:ascii="宋体" w:hAnsi="宋体" w:eastAsia="宋体" w:cs="宋体"/>
          <w:b w:val="0"/>
          <w:color w:val="auto"/>
          <w:sz w:val="24"/>
          <w:szCs w:val="24"/>
          <w:highlight w:val="none"/>
          <w:u w:val="none"/>
        </w:rPr>
        <w:t>委托招标代理机构</w:t>
      </w:r>
      <w:r>
        <w:rPr>
          <w:rFonts w:hint="eastAsia" w:ascii="宋体" w:hAnsi="宋体" w:eastAsia="宋体" w:cs="宋体"/>
          <w:b w:val="0"/>
          <w:color w:val="auto"/>
          <w:sz w:val="24"/>
          <w:szCs w:val="24"/>
          <w:highlight w:val="none"/>
          <w:u w:val="single"/>
          <w:lang w:val="zh-CN"/>
        </w:rPr>
        <w:t>中冠工程管理咨询有限公司</w:t>
      </w:r>
      <w:r>
        <w:rPr>
          <w:rFonts w:hint="eastAsia" w:ascii="宋体" w:hAnsi="宋体" w:eastAsia="宋体" w:cs="宋体"/>
          <w:b w:val="0"/>
          <w:color w:val="auto"/>
          <w:sz w:val="24"/>
          <w:szCs w:val="24"/>
          <w:highlight w:val="none"/>
          <w:u w:val="none"/>
        </w:rPr>
        <w:t>，对</w:t>
      </w:r>
      <w:r>
        <w:rPr>
          <w:rFonts w:hint="eastAsia" w:ascii="宋体" w:hAnsi="宋体" w:eastAsia="宋体" w:cs="宋体"/>
          <w:b w:val="0"/>
          <w:color w:val="auto"/>
          <w:sz w:val="24"/>
          <w:szCs w:val="24"/>
          <w:highlight w:val="none"/>
          <w:u w:val="single"/>
          <w:lang w:eastAsia="zh-CN"/>
        </w:rPr>
        <w:t>2024-2025年片碱采购</w:t>
      </w:r>
      <w:r>
        <w:rPr>
          <w:rFonts w:hint="eastAsia" w:ascii="宋体" w:hAnsi="宋体" w:eastAsia="宋体" w:cs="宋体"/>
          <w:b w:val="0"/>
          <w:color w:val="auto"/>
          <w:sz w:val="24"/>
          <w:szCs w:val="24"/>
          <w:highlight w:val="none"/>
          <w:u w:val="none"/>
        </w:rPr>
        <w:t>项目名称进行公开招标，欢迎对本项目有兴趣并符合投标人资格条件的投标人参加投标。</w:t>
      </w:r>
    </w:p>
    <w:p w14:paraId="518854B7">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招标编号：</w:t>
      </w:r>
      <w:r>
        <w:rPr>
          <w:rFonts w:hint="eastAsia" w:ascii="宋体" w:hAnsi="宋体" w:eastAsia="宋体" w:cs="宋体"/>
          <w:b w:val="0"/>
          <w:bCs/>
          <w:color w:val="auto"/>
          <w:sz w:val="24"/>
          <w:szCs w:val="24"/>
          <w:highlight w:val="none"/>
          <w:u w:val="single"/>
        </w:rPr>
        <w:t>NY-4HZB2410031</w:t>
      </w:r>
      <w:r>
        <w:rPr>
          <w:rFonts w:hint="eastAsia" w:ascii="宋体" w:hAnsi="宋体" w:eastAsia="宋体" w:cs="宋体"/>
          <w:bCs/>
          <w:color w:val="auto"/>
          <w:sz w:val="24"/>
          <w:szCs w:val="24"/>
          <w:highlight w:val="none"/>
          <w:u w:val="none"/>
          <w:lang w:eastAsia="zh-CN"/>
        </w:rPr>
        <w:t>。</w:t>
      </w:r>
      <w:r>
        <w:rPr>
          <w:rFonts w:hint="eastAsia" w:ascii="宋体" w:hAnsi="宋体" w:eastAsia="宋体" w:cs="宋体"/>
          <w:b/>
          <w:color w:val="auto"/>
          <w:sz w:val="24"/>
          <w:szCs w:val="24"/>
          <w:highlight w:val="none"/>
        </w:rPr>
        <w:t xml:space="preserve"> </w:t>
      </w:r>
    </w:p>
    <w:p w14:paraId="7A0F3A5C">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项目名称</w:t>
      </w:r>
      <w:r>
        <w:rPr>
          <w:rFonts w:hint="eastAsia" w:ascii="宋体" w:hAnsi="宋体" w:eastAsia="宋体" w:cs="宋体"/>
          <w:b/>
          <w:color w:val="auto"/>
          <w:sz w:val="24"/>
          <w:szCs w:val="24"/>
          <w:highlight w:val="none"/>
          <w:lang w:val="en-US" w:eastAsia="zh-CN"/>
        </w:rPr>
        <w:t>:</w:t>
      </w:r>
      <w:r>
        <w:rPr>
          <w:rFonts w:hint="eastAsia" w:ascii="宋体" w:hAnsi="宋体" w:eastAsia="宋体" w:cs="宋体"/>
          <w:b w:val="0"/>
          <w:color w:val="auto"/>
          <w:sz w:val="24"/>
          <w:szCs w:val="24"/>
          <w:highlight w:val="none"/>
          <w:u w:val="single"/>
          <w:lang w:eastAsia="zh-CN"/>
        </w:rPr>
        <w:t>2024-2025年片碱采购项目</w:t>
      </w:r>
      <w:r>
        <w:rPr>
          <w:rFonts w:hint="eastAsia" w:ascii="宋体" w:hAnsi="宋体" w:eastAsia="宋体" w:cs="宋体"/>
          <w:bCs/>
          <w:color w:val="auto"/>
          <w:sz w:val="24"/>
          <w:szCs w:val="24"/>
          <w:highlight w:val="none"/>
          <w:u w:val="none"/>
          <w:lang w:eastAsia="zh-CN"/>
        </w:rPr>
        <w:t>。</w:t>
      </w:r>
    </w:p>
    <w:p w14:paraId="300A822E">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Cs/>
          <w:color w:val="auto"/>
          <w:sz w:val="24"/>
          <w:szCs w:val="24"/>
          <w:highlight w:val="none"/>
          <w:u w:val="none"/>
          <w:lang w:eastAsia="zh-CN"/>
        </w:rPr>
      </w:pPr>
      <w:r>
        <w:rPr>
          <w:rFonts w:hint="eastAsia" w:ascii="宋体" w:hAnsi="宋体" w:eastAsia="宋体" w:cs="宋体"/>
          <w:b/>
          <w:color w:val="auto"/>
          <w:sz w:val="24"/>
          <w:szCs w:val="24"/>
          <w:highlight w:val="none"/>
          <w:lang w:val="en-US" w:eastAsia="zh-CN"/>
        </w:rPr>
        <w:t>3、项目地点：</w:t>
      </w:r>
      <w:r>
        <w:rPr>
          <w:rFonts w:hint="eastAsia" w:ascii="宋体" w:hAnsi="宋体" w:eastAsia="宋体" w:cs="宋体"/>
          <w:b w:val="0"/>
          <w:bCs/>
          <w:color w:val="auto"/>
          <w:sz w:val="24"/>
          <w:szCs w:val="24"/>
          <w:highlight w:val="none"/>
          <w:u w:val="single"/>
          <w:lang w:val="en-US" w:eastAsia="zh-CN"/>
        </w:rPr>
        <w:t>杭州市（招标人指定地点）</w:t>
      </w:r>
      <w:r>
        <w:rPr>
          <w:rFonts w:hint="eastAsia" w:ascii="宋体" w:hAnsi="宋体" w:eastAsia="宋体" w:cs="宋体"/>
          <w:bCs/>
          <w:color w:val="auto"/>
          <w:sz w:val="24"/>
          <w:szCs w:val="24"/>
          <w:highlight w:val="none"/>
          <w:u w:val="none"/>
          <w:lang w:eastAsia="zh-CN"/>
        </w:rPr>
        <w:t>。</w:t>
      </w:r>
    </w:p>
    <w:p w14:paraId="6EA2A2FB">
      <w:pPr>
        <w:pageBreakBefore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4、项目最高限价</w:t>
      </w:r>
      <w:r>
        <w:rPr>
          <w:rFonts w:hint="eastAsia" w:ascii="宋体" w:hAnsi="宋体" w:eastAsia="宋体" w:cs="宋体"/>
          <w:b/>
          <w:color w:val="auto"/>
          <w:sz w:val="24"/>
          <w:szCs w:val="24"/>
          <w:highlight w:val="none"/>
          <w:lang w:eastAsia="zh-CN"/>
        </w:rPr>
        <w:t>：总价</w:t>
      </w:r>
      <w:r>
        <w:rPr>
          <w:rFonts w:hint="eastAsia" w:ascii="宋体" w:hAnsi="宋体" w:eastAsia="宋体" w:cs="宋体"/>
          <w:b/>
          <w:color w:val="auto"/>
          <w:sz w:val="24"/>
          <w:szCs w:val="24"/>
          <w:highlight w:val="none"/>
          <w:lang w:val="en-US" w:eastAsia="zh-CN"/>
        </w:rPr>
        <w:t>最高限价34.524</w:t>
      </w:r>
      <w:r>
        <w:rPr>
          <w:rFonts w:hint="eastAsia" w:ascii="宋体" w:hAnsi="宋体" w:eastAsia="宋体" w:cs="宋体"/>
          <w:b/>
          <w:color w:val="auto"/>
          <w:sz w:val="24"/>
          <w:szCs w:val="24"/>
          <w:highlight w:val="none"/>
          <w:u w:val="none"/>
          <w:lang w:val="en-US" w:eastAsia="zh-CN"/>
        </w:rPr>
        <w:t>万元；</w:t>
      </w:r>
      <w:r>
        <w:rPr>
          <w:rFonts w:hint="eastAsia" w:ascii="宋体" w:hAnsi="宋体" w:eastAsia="宋体" w:cs="宋体"/>
          <w:b/>
          <w:color w:val="auto"/>
          <w:sz w:val="24"/>
          <w:szCs w:val="24"/>
          <w:highlight w:val="none"/>
          <w:lang w:val="en-US" w:eastAsia="zh-CN"/>
        </w:rPr>
        <w:t>单价最高限价6300</w:t>
      </w:r>
      <w:r>
        <w:rPr>
          <w:rFonts w:hint="eastAsia" w:ascii="宋体" w:hAnsi="宋体" w:eastAsia="宋体" w:cs="宋体"/>
          <w:b/>
          <w:color w:val="auto"/>
          <w:sz w:val="24"/>
          <w:szCs w:val="24"/>
          <w:highlight w:val="none"/>
        </w:rPr>
        <w:t>元/吨，</w:t>
      </w:r>
      <w:r>
        <w:rPr>
          <w:rFonts w:hint="eastAsia" w:ascii="宋体" w:hAnsi="宋体" w:eastAsia="宋体" w:cs="宋体"/>
          <w:b/>
          <w:bCs/>
          <w:snapToGrid w:val="0"/>
          <w:color w:val="auto"/>
          <w:kern w:val="2"/>
          <w:sz w:val="24"/>
          <w:szCs w:val="24"/>
          <w:highlight w:val="none"/>
          <w:u w:val="single"/>
          <w:lang w:val="zh-CN" w:eastAsia="zh-CN" w:bidi="ar-SA"/>
        </w:rPr>
        <w:t>投标人的投标报价超过总价限价</w:t>
      </w:r>
      <w:r>
        <w:rPr>
          <w:rFonts w:hint="eastAsia" w:ascii="宋体" w:hAnsi="宋体" w:eastAsia="宋体" w:cs="宋体"/>
          <w:b/>
          <w:bCs/>
          <w:snapToGrid w:val="0"/>
          <w:color w:val="auto"/>
          <w:kern w:val="2"/>
          <w:sz w:val="24"/>
          <w:szCs w:val="24"/>
          <w:highlight w:val="none"/>
          <w:u w:val="single"/>
          <w:lang w:val="en-US" w:eastAsia="zh-CN" w:bidi="ar-SA"/>
        </w:rPr>
        <w:t>或</w:t>
      </w:r>
      <w:r>
        <w:rPr>
          <w:rFonts w:hint="eastAsia" w:ascii="宋体" w:hAnsi="宋体" w:eastAsia="宋体" w:cs="宋体"/>
          <w:b/>
          <w:bCs/>
          <w:snapToGrid w:val="0"/>
          <w:color w:val="auto"/>
          <w:kern w:val="2"/>
          <w:sz w:val="24"/>
          <w:szCs w:val="24"/>
          <w:highlight w:val="none"/>
          <w:u w:val="single"/>
          <w:lang w:val="zh-CN" w:eastAsia="zh-CN" w:bidi="ar-SA"/>
        </w:rPr>
        <w:t>单价限价的，将作无效标处理</w:t>
      </w:r>
      <w:r>
        <w:rPr>
          <w:rFonts w:hint="eastAsia" w:ascii="宋体" w:hAnsi="宋体" w:eastAsia="宋体" w:cs="宋体"/>
          <w:b/>
          <w:color w:val="auto"/>
          <w:sz w:val="24"/>
          <w:szCs w:val="24"/>
          <w:highlight w:val="none"/>
        </w:rPr>
        <w:t>。</w:t>
      </w:r>
    </w:p>
    <w:p w14:paraId="29496551">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color w:val="auto"/>
          <w:sz w:val="24"/>
          <w:szCs w:val="24"/>
          <w:highlight w:val="none"/>
          <w:lang w:val="en-US" w:eastAsia="zh-CN"/>
        </w:rPr>
        <w:t>5、招标人：</w:t>
      </w:r>
      <w:r>
        <w:rPr>
          <w:rFonts w:hint="eastAsia" w:ascii="宋体" w:hAnsi="宋体" w:eastAsia="宋体" w:cs="宋体"/>
          <w:b w:val="0"/>
          <w:bCs/>
          <w:color w:val="auto"/>
          <w:sz w:val="24"/>
          <w:szCs w:val="24"/>
          <w:highlight w:val="none"/>
          <w:u w:val="single"/>
          <w:lang w:val="en-US" w:eastAsia="zh-CN"/>
        </w:rPr>
        <w:t>杭州市环境集团有限公司</w:t>
      </w:r>
    </w:p>
    <w:p w14:paraId="26A3A933">
      <w:pPr>
        <w:pStyle w:val="23"/>
        <w:ind w:left="0" w:leftChars="0" w:firstLine="482" w:firstLineChars="200"/>
        <w:rPr>
          <w:rFonts w:hint="eastAsia" w:ascii="宋体" w:hAnsi="宋体" w:eastAsia="宋体" w:cs="宋体"/>
          <w:b w:val="0"/>
          <w:bCs/>
          <w:color w:val="auto"/>
          <w:kern w:val="2"/>
          <w:sz w:val="24"/>
          <w:szCs w:val="24"/>
          <w:highlight w:val="none"/>
          <w:u w:val="single"/>
          <w:lang w:val="en-US" w:eastAsia="zh-CN" w:bidi="ar-SA"/>
        </w:rPr>
      </w:pPr>
      <w:r>
        <w:rPr>
          <w:rFonts w:hint="eastAsia" w:ascii="宋体" w:hAnsi="宋体" w:eastAsia="宋体" w:cs="宋体"/>
          <w:b/>
          <w:color w:val="auto"/>
          <w:kern w:val="2"/>
          <w:sz w:val="24"/>
          <w:szCs w:val="24"/>
          <w:highlight w:val="none"/>
          <w:lang w:val="en-US" w:eastAsia="zh-CN" w:bidi="ar-SA"/>
        </w:rPr>
        <w:t>6、采购人：</w:t>
      </w:r>
      <w:r>
        <w:rPr>
          <w:rFonts w:hint="eastAsia" w:ascii="宋体" w:hAnsi="宋体" w:eastAsia="宋体" w:cs="宋体"/>
          <w:b w:val="0"/>
          <w:bCs/>
          <w:color w:val="auto"/>
          <w:kern w:val="2"/>
          <w:sz w:val="24"/>
          <w:szCs w:val="24"/>
          <w:highlight w:val="none"/>
          <w:u w:val="single"/>
          <w:lang w:val="en-US" w:eastAsia="zh-CN" w:bidi="ar-SA"/>
        </w:rPr>
        <w:t>杭州市环境集团有限公司、杭州萧山环城生物能源有限公司、杭州环临环境发展有限公司。</w:t>
      </w:r>
    </w:p>
    <w:p w14:paraId="52157DBB">
      <w:pPr>
        <w:pStyle w:val="23"/>
        <w:ind w:left="0" w:leftChars="0"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注：招标人对投标单位的要求视同各采购人对投标单位的要求，投标单位均需满足；投标单位对招标人的承诺、响应视同投标单位对各采购人的承诺、响应，投标单位均需履行。</w:t>
      </w:r>
    </w:p>
    <w:p w14:paraId="1AB15FBC">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招标范围及内容：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725"/>
        <w:gridCol w:w="2745"/>
        <w:gridCol w:w="1151"/>
        <w:gridCol w:w="1249"/>
        <w:gridCol w:w="1751"/>
      </w:tblGrid>
      <w:tr w14:paraId="5683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341" w:type="dxa"/>
            <w:shd w:val="clear" w:color="auto" w:fill="auto"/>
            <w:vAlign w:val="center"/>
          </w:tcPr>
          <w:p w14:paraId="3C681D9E">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名称</w:t>
            </w:r>
          </w:p>
        </w:tc>
        <w:tc>
          <w:tcPr>
            <w:tcW w:w="1725" w:type="dxa"/>
            <w:shd w:val="clear" w:color="auto" w:fill="auto"/>
            <w:vAlign w:val="center"/>
          </w:tcPr>
          <w:p w14:paraId="383A7361">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技术参数</w:t>
            </w:r>
          </w:p>
        </w:tc>
        <w:tc>
          <w:tcPr>
            <w:tcW w:w="2745" w:type="dxa"/>
            <w:shd w:val="clear" w:color="auto" w:fill="auto"/>
            <w:vAlign w:val="center"/>
          </w:tcPr>
          <w:p w14:paraId="6DC42E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采购人</w:t>
            </w:r>
          </w:p>
        </w:tc>
        <w:tc>
          <w:tcPr>
            <w:tcW w:w="1151" w:type="dxa"/>
            <w:shd w:val="clear" w:color="auto" w:fill="auto"/>
            <w:vAlign w:val="center"/>
          </w:tcPr>
          <w:p w14:paraId="26C1399A">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预估数量（吨）</w:t>
            </w:r>
          </w:p>
        </w:tc>
        <w:tc>
          <w:tcPr>
            <w:tcW w:w="1249" w:type="dxa"/>
            <w:shd w:val="clear" w:color="auto" w:fill="auto"/>
            <w:vAlign w:val="center"/>
          </w:tcPr>
          <w:p w14:paraId="3F8034C4">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单价最高限价</w:t>
            </w:r>
          </w:p>
          <w:p w14:paraId="49A944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000000"/>
                <w:kern w:val="2"/>
                <w:sz w:val="24"/>
                <w:szCs w:val="24"/>
                <w:highlight w:val="none"/>
                <w:lang w:val="en-US" w:eastAsia="zh-CN" w:bidi="ar-SA"/>
              </w:rPr>
              <w:t>（元/吨）</w:t>
            </w:r>
          </w:p>
        </w:tc>
        <w:tc>
          <w:tcPr>
            <w:tcW w:w="1751" w:type="dxa"/>
            <w:shd w:val="clear" w:color="auto" w:fill="auto"/>
            <w:vAlign w:val="center"/>
          </w:tcPr>
          <w:p w14:paraId="5630633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000000"/>
                <w:kern w:val="2"/>
                <w:sz w:val="24"/>
                <w:szCs w:val="24"/>
                <w:highlight w:val="none"/>
                <w:lang w:val="en-US" w:eastAsia="zh-CN" w:bidi="ar-SA"/>
              </w:rPr>
              <w:t>备注</w:t>
            </w:r>
          </w:p>
        </w:tc>
      </w:tr>
      <w:tr w14:paraId="1CA0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341" w:type="dxa"/>
            <w:vMerge w:val="restart"/>
            <w:shd w:val="clear" w:color="auto" w:fill="auto"/>
            <w:vAlign w:val="center"/>
          </w:tcPr>
          <w:p w14:paraId="6BB9FC97">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片碱（固体</w:t>
            </w:r>
            <w:r>
              <w:rPr>
                <w:rFonts w:hint="eastAsia" w:ascii="宋体" w:hAnsi="宋体" w:eastAsia="宋体" w:cs="宋体"/>
                <w:bCs/>
                <w:color w:val="000000"/>
                <w:sz w:val="24"/>
                <w:szCs w:val="24"/>
                <w:lang w:val="en-US" w:eastAsia="zh-CN"/>
              </w:rPr>
              <w:t>工业用氢氧化钠</w:t>
            </w:r>
            <w:r>
              <w:rPr>
                <w:rFonts w:hint="eastAsia" w:ascii="宋体" w:hAnsi="宋体" w:eastAsia="宋体" w:cs="宋体"/>
                <w:color w:val="000000"/>
                <w:sz w:val="24"/>
                <w:szCs w:val="24"/>
                <w:lang w:val="en-US" w:eastAsia="zh-CN"/>
              </w:rPr>
              <w:t>）</w:t>
            </w:r>
          </w:p>
        </w:tc>
        <w:tc>
          <w:tcPr>
            <w:tcW w:w="1725" w:type="dxa"/>
            <w:vMerge w:val="restart"/>
            <w:shd w:val="clear" w:color="auto" w:fill="auto"/>
            <w:vAlign w:val="center"/>
          </w:tcPr>
          <w:p w14:paraId="733F9841">
            <w:pPr>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2"/>
                <w:sz w:val="24"/>
                <w:szCs w:val="24"/>
                <w:u w:val="none"/>
                <w:lang w:val="en-US" w:eastAsia="zh-CN" w:bidi="ar-SA"/>
              </w:rPr>
              <w:t>25KG/袋，氢氧化钠</w:t>
            </w:r>
            <w:r>
              <w:rPr>
                <w:rFonts w:hint="eastAsia" w:ascii="宋体" w:hAnsi="宋体" w:eastAsia="宋体" w:cs="宋体"/>
                <w:i w:val="0"/>
                <w:iCs w:val="0"/>
                <w:color w:val="000000"/>
                <w:kern w:val="2"/>
                <w:sz w:val="24"/>
                <w:szCs w:val="24"/>
                <w:highlight w:val="none"/>
                <w:u w:val="none"/>
                <w:lang w:val="en-US" w:eastAsia="zh-CN" w:bidi="ar-SA"/>
              </w:rPr>
              <w:t>含量</w:t>
            </w:r>
            <w:r>
              <w:rPr>
                <w:rFonts w:hint="eastAsia" w:ascii="宋体" w:hAnsi="宋体" w:eastAsia="宋体" w:cs="宋体"/>
                <w:i w:val="0"/>
                <w:iCs w:val="0"/>
                <w:color w:val="000000"/>
                <w:kern w:val="2"/>
                <w:sz w:val="24"/>
                <w:szCs w:val="24"/>
                <w:u w:val="none"/>
                <w:lang w:val="en-US" w:eastAsia="zh-CN" w:bidi="ar-SA"/>
              </w:rPr>
              <w:t>≥98%，</w:t>
            </w:r>
            <w:r>
              <w:rPr>
                <w:rFonts w:hint="eastAsia" w:ascii="宋体" w:hAnsi="宋体" w:eastAsia="宋体" w:cs="宋体"/>
                <w:color w:val="000000"/>
                <w:sz w:val="24"/>
                <w:szCs w:val="24"/>
              </w:rPr>
              <w:t>质量</w:t>
            </w:r>
            <w:r>
              <w:rPr>
                <w:rFonts w:hint="eastAsia" w:ascii="宋体" w:hAnsi="宋体" w:eastAsia="宋体" w:cs="宋体"/>
                <w:color w:val="000000"/>
                <w:sz w:val="24"/>
                <w:szCs w:val="24"/>
                <w:lang w:val="en-US" w:eastAsia="zh-CN"/>
              </w:rPr>
              <w:t>符合</w:t>
            </w:r>
            <w:r>
              <w:rPr>
                <w:rFonts w:hint="eastAsia" w:ascii="宋体" w:hAnsi="宋体" w:eastAsia="宋体" w:cs="宋体"/>
                <w:color w:val="000000"/>
                <w:sz w:val="24"/>
                <w:szCs w:val="24"/>
              </w:rPr>
              <w:t>国家标准GB/T209-2018</w:t>
            </w:r>
            <w:r>
              <w:rPr>
                <w:rFonts w:hint="eastAsia" w:ascii="宋体" w:hAnsi="宋体" w:eastAsia="宋体" w:cs="宋体"/>
                <w:i w:val="0"/>
                <w:iCs w:val="0"/>
                <w:color w:val="000000"/>
                <w:kern w:val="2"/>
                <w:sz w:val="24"/>
                <w:szCs w:val="24"/>
                <w:u w:val="none"/>
                <w:lang w:val="en-US" w:eastAsia="zh-CN" w:bidi="ar-SA"/>
              </w:rPr>
              <w:t>表1中IS Ⅰ类标准</w:t>
            </w:r>
          </w:p>
        </w:tc>
        <w:tc>
          <w:tcPr>
            <w:tcW w:w="2745" w:type="dxa"/>
            <w:shd w:val="clear" w:color="auto" w:fill="auto"/>
            <w:vAlign w:val="center"/>
          </w:tcPr>
          <w:p w14:paraId="5493E559">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杭州市环境集团有限公司-物流分公司</w:t>
            </w:r>
          </w:p>
        </w:tc>
        <w:tc>
          <w:tcPr>
            <w:tcW w:w="1151" w:type="dxa"/>
            <w:shd w:val="clear" w:color="auto" w:fill="auto"/>
            <w:vAlign w:val="center"/>
          </w:tcPr>
          <w:p w14:paraId="6F69F5AD">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4.8</w:t>
            </w:r>
          </w:p>
        </w:tc>
        <w:tc>
          <w:tcPr>
            <w:tcW w:w="1249" w:type="dxa"/>
            <w:shd w:val="clear" w:color="auto" w:fill="auto"/>
            <w:vAlign w:val="center"/>
          </w:tcPr>
          <w:p w14:paraId="52932F39">
            <w:pPr>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6300</w:t>
            </w:r>
          </w:p>
        </w:tc>
        <w:tc>
          <w:tcPr>
            <w:tcW w:w="1751" w:type="dxa"/>
            <w:shd w:val="clear" w:color="auto" w:fill="auto"/>
            <w:vAlign w:val="center"/>
          </w:tcPr>
          <w:p w14:paraId="2FA37746">
            <w:pPr>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000000"/>
                <w:sz w:val="24"/>
                <w:szCs w:val="24"/>
                <w:lang w:val="en-US" w:eastAsia="zh-CN"/>
              </w:rPr>
              <w:t>天子岭减量综合体2.4吨；之江减量综合体2.4吨</w:t>
            </w:r>
          </w:p>
        </w:tc>
      </w:tr>
      <w:tr w14:paraId="1BE0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41" w:type="dxa"/>
            <w:vMerge w:val="continue"/>
            <w:shd w:val="clear" w:color="auto" w:fill="auto"/>
            <w:vAlign w:val="center"/>
          </w:tcPr>
          <w:p w14:paraId="7F4CC091">
            <w:pPr>
              <w:jc w:val="center"/>
              <w:textAlignment w:val="center"/>
              <w:rPr>
                <w:rFonts w:hint="eastAsia" w:ascii="宋体" w:hAnsi="宋体" w:eastAsia="宋体" w:cs="宋体"/>
                <w:color w:val="auto"/>
                <w:sz w:val="24"/>
                <w:szCs w:val="24"/>
                <w:highlight w:val="none"/>
                <w:lang w:bidi="ar"/>
              </w:rPr>
            </w:pPr>
          </w:p>
        </w:tc>
        <w:tc>
          <w:tcPr>
            <w:tcW w:w="1725" w:type="dxa"/>
            <w:vMerge w:val="continue"/>
            <w:shd w:val="clear" w:color="auto" w:fill="auto"/>
            <w:vAlign w:val="center"/>
          </w:tcPr>
          <w:p w14:paraId="1BB4DD26">
            <w:pPr>
              <w:jc w:val="center"/>
              <w:textAlignment w:val="center"/>
              <w:rPr>
                <w:rFonts w:hint="eastAsia" w:ascii="宋体" w:hAnsi="宋体" w:eastAsia="宋体" w:cs="宋体"/>
                <w:color w:val="auto"/>
                <w:sz w:val="24"/>
                <w:szCs w:val="24"/>
                <w:highlight w:val="none"/>
                <w:lang w:val="en-US" w:eastAsia="zh-CN"/>
              </w:rPr>
            </w:pPr>
          </w:p>
        </w:tc>
        <w:tc>
          <w:tcPr>
            <w:tcW w:w="2745" w:type="dxa"/>
            <w:shd w:val="clear" w:color="auto" w:fill="auto"/>
            <w:vAlign w:val="center"/>
          </w:tcPr>
          <w:p w14:paraId="1FE24307">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z w:val="24"/>
                <w:szCs w:val="24"/>
                <w:lang w:val="en-US" w:eastAsia="zh-CN"/>
              </w:rPr>
              <w:t>杭州市环境集团有限公司-资源化利用事业部</w:t>
            </w:r>
          </w:p>
        </w:tc>
        <w:tc>
          <w:tcPr>
            <w:tcW w:w="1151" w:type="dxa"/>
            <w:shd w:val="clear" w:color="auto" w:fill="auto"/>
            <w:vAlign w:val="center"/>
          </w:tcPr>
          <w:p w14:paraId="7574BD23">
            <w:pPr>
              <w:spacing w:line="400" w:lineRule="exact"/>
              <w:jc w:val="center"/>
              <w:rPr>
                <w:rFonts w:hint="eastAsia" w:ascii="宋体" w:hAnsi="宋体" w:eastAsia="宋体" w:cs="宋体"/>
                <w:color w:val="auto"/>
                <w:sz w:val="24"/>
                <w:szCs w:val="24"/>
                <w:highlight w:val="none"/>
                <w:lang w:bidi="ar"/>
              </w:rPr>
            </w:pPr>
            <w:r>
              <w:rPr>
                <w:rFonts w:hint="eastAsia" w:ascii="宋体" w:hAnsi="宋体" w:eastAsia="宋体" w:cs="宋体"/>
                <w:bCs/>
                <w:color w:val="000000"/>
                <w:sz w:val="24"/>
                <w:szCs w:val="24"/>
                <w:lang w:val="en-US" w:eastAsia="zh-CN"/>
              </w:rPr>
              <w:t>15</w:t>
            </w:r>
          </w:p>
        </w:tc>
        <w:tc>
          <w:tcPr>
            <w:tcW w:w="1249" w:type="dxa"/>
            <w:shd w:val="clear" w:color="auto" w:fill="auto"/>
            <w:vAlign w:val="center"/>
          </w:tcPr>
          <w:p w14:paraId="78C7837F">
            <w:pPr>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6300</w:t>
            </w:r>
          </w:p>
        </w:tc>
        <w:tc>
          <w:tcPr>
            <w:tcW w:w="1751" w:type="dxa"/>
            <w:shd w:val="clear" w:color="auto" w:fill="auto"/>
            <w:vAlign w:val="center"/>
          </w:tcPr>
          <w:p w14:paraId="5F2D2E84">
            <w:pPr>
              <w:jc w:val="center"/>
              <w:textAlignment w:val="center"/>
              <w:rPr>
                <w:rFonts w:hint="eastAsia" w:ascii="宋体" w:hAnsi="宋体" w:eastAsia="宋体" w:cs="宋体"/>
                <w:color w:val="auto"/>
                <w:sz w:val="24"/>
                <w:szCs w:val="24"/>
                <w:highlight w:val="none"/>
                <w:lang w:val="en-US" w:eastAsia="zh-CN"/>
              </w:rPr>
            </w:pPr>
          </w:p>
        </w:tc>
      </w:tr>
      <w:tr w14:paraId="22A0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341" w:type="dxa"/>
            <w:vMerge w:val="continue"/>
            <w:shd w:val="clear" w:color="auto" w:fill="auto"/>
            <w:vAlign w:val="center"/>
          </w:tcPr>
          <w:p w14:paraId="39139706">
            <w:pPr>
              <w:jc w:val="center"/>
              <w:textAlignment w:val="center"/>
              <w:rPr>
                <w:rFonts w:hint="eastAsia" w:ascii="宋体" w:hAnsi="宋体" w:eastAsia="宋体" w:cs="宋体"/>
                <w:color w:val="auto"/>
                <w:sz w:val="24"/>
                <w:szCs w:val="24"/>
                <w:highlight w:val="none"/>
                <w:lang w:bidi="ar"/>
              </w:rPr>
            </w:pPr>
          </w:p>
        </w:tc>
        <w:tc>
          <w:tcPr>
            <w:tcW w:w="1725" w:type="dxa"/>
            <w:vMerge w:val="continue"/>
            <w:shd w:val="clear" w:color="auto" w:fill="auto"/>
            <w:vAlign w:val="center"/>
          </w:tcPr>
          <w:p w14:paraId="1006D721">
            <w:pPr>
              <w:jc w:val="center"/>
              <w:textAlignment w:val="center"/>
              <w:rPr>
                <w:rFonts w:hint="eastAsia" w:ascii="宋体" w:hAnsi="宋体" w:eastAsia="宋体" w:cs="宋体"/>
                <w:color w:val="auto"/>
                <w:sz w:val="24"/>
                <w:szCs w:val="24"/>
                <w:highlight w:val="none"/>
                <w:lang w:val="en-US" w:eastAsia="zh-CN"/>
              </w:rPr>
            </w:pPr>
          </w:p>
        </w:tc>
        <w:tc>
          <w:tcPr>
            <w:tcW w:w="2745" w:type="dxa"/>
            <w:shd w:val="clear" w:color="auto" w:fill="auto"/>
            <w:vAlign w:val="center"/>
          </w:tcPr>
          <w:p w14:paraId="2FB24E2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2"/>
                <w:sz w:val="24"/>
                <w:szCs w:val="24"/>
                <w:lang w:val="en-US" w:eastAsia="zh-CN" w:bidi="ar-SA"/>
              </w:rPr>
              <w:t>杭州萧山环城生物能源有限公司</w:t>
            </w:r>
          </w:p>
        </w:tc>
        <w:tc>
          <w:tcPr>
            <w:tcW w:w="1151" w:type="dxa"/>
            <w:shd w:val="clear" w:color="auto" w:fill="auto"/>
            <w:vAlign w:val="center"/>
          </w:tcPr>
          <w:p w14:paraId="0608CDB0">
            <w:pPr>
              <w:spacing w:line="400" w:lineRule="exact"/>
              <w:jc w:val="center"/>
              <w:rPr>
                <w:rFonts w:hint="eastAsia" w:ascii="宋体" w:hAnsi="宋体" w:eastAsia="宋体" w:cs="宋体"/>
                <w:color w:val="auto"/>
                <w:sz w:val="24"/>
                <w:szCs w:val="24"/>
                <w:highlight w:val="none"/>
                <w:lang w:bidi="ar"/>
              </w:rPr>
            </w:pPr>
            <w:r>
              <w:rPr>
                <w:rFonts w:hint="eastAsia" w:ascii="宋体" w:hAnsi="宋体" w:eastAsia="宋体" w:cs="宋体"/>
                <w:bCs/>
                <w:color w:val="000000"/>
                <w:sz w:val="24"/>
                <w:szCs w:val="24"/>
                <w:lang w:val="en-US" w:eastAsia="zh-CN"/>
              </w:rPr>
              <w:t>20</w:t>
            </w:r>
          </w:p>
        </w:tc>
        <w:tc>
          <w:tcPr>
            <w:tcW w:w="1249" w:type="dxa"/>
            <w:shd w:val="clear" w:color="auto" w:fill="auto"/>
            <w:vAlign w:val="center"/>
          </w:tcPr>
          <w:p w14:paraId="433AD79E">
            <w:pPr>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6300</w:t>
            </w:r>
          </w:p>
        </w:tc>
        <w:tc>
          <w:tcPr>
            <w:tcW w:w="1751" w:type="dxa"/>
            <w:shd w:val="clear" w:color="auto" w:fill="auto"/>
            <w:vAlign w:val="center"/>
          </w:tcPr>
          <w:p w14:paraId="64D2507C">
            <w:pPr>
              <w:jc w:val="center"/>
              <w:textAlignment w:val="center"/>
              <w:rPr>
                <w:rFonts w:hint="eastAsia" w:ascii="宋体" w:hAnsi="宋体" w:eastAsia="宋体" w:cs="宋体"/>
                <w:color w:val="auto"/>
                <w:sz w:val="24"/>
                <w:szCs w:val="24"/>
                <w:highlight w:val="none"/>
                <w:lang w:val="en-US" w:eastAsia="zh-CN"/>
              </w:rPr>
            </w:pPr>
          </w:p>
        </w:tc>
      </w:tr>
      <w:tr w14:paraId="0207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41" w:type="dxa"/>
            <w:vMerge w:val="continue"/>
            <w:shd w:val="clear" w:color="auto" w:fill="auto"/>
            <w:vAlign w:val="center"/>
          </w:tcPr>
          <w:p w14:paraId="5EB2700A">
            <w:pPr>
              <w:jc w:val="center"/>
              <w:textAlignment w:val="center"/>
              <w:rPr>
                <w:rFonts w:hint="eastAsia" w:ascii="宋体" w:hAnsi="宋体" w:eastAsia="宋体" w:cs="宋体"/>
                <w:color w:val="auto"/>
                <w:sz w:val="24"/>
                <w:szCs w:val="24"/>
                <w:highlight w:val="none"/>
                <w:lang w:bidi="ar"/>
              </w:rPr>
            </w:pPr>
          </w:p>
        </w:tc>
        <w:tc>
          <w:tcPr>
            <w:tcW w:w="1725" w:type="dxa"/>
            <w:vMerge w:val="continue"/>
            <w:shd w:val="clear" w:color="auto" w:fill="auto"/>
            <w:vAlign w:val="center"/>
          </w:tcPr>
          <w:p w14:paraId="4D0A87B6">
            <w:pPr>
              <w:jc w:val="center"/>
              <w:textAlignment w:val="center"/>
              <w:rPr>
                <w:rFonts w:hint="eastAsia" w:ascii="宋体" w:hAnsi="宋体" w:eastAsia="宋体" w:cs="宋体"/>
                <w:color w:val="auto"/>
                <w:sz w:val="24"/>
                <w:szCs w:val="24"/>
                <w:highlight w:val="none"/>
                <w:lang w:val="en-US" w:eastAsia="zh-CN"/>
              </w:rPr>
            </w:pPr>
          </w:p>
        </w:tc>
        <w:tc>
          <w:tcPr>
            <w:tcW w:w="2745" w:type="dxa"/>
            <w:shd w:val="clear" w:color="auto" w:fill="auto"/>
            <w:vAlign w:val="center"/>
          </w:tcPr>
          <w:p w14:paraId="43328AD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2"/>
                <w:sz w:val="24"/>
                <w:szCs w:val="24"/>
                <w:lang w:val="en-US" w:eastAsia="zh-CN" w:bidi="ar-SA"/>
              </w:rPr>
              <w:t>杭州环临环境发展有限公司</w:t>
            </w:r>
          </w:p>
        </w:tc>
        <w:tc>
          <w:tcPr>
            <w:tcW w:w="1151" w:type="dxa"/>
            <w:shd w:val="clear" w:color="auto" w:fill="auto"/>
            <w:vAlign w:val="center"/>
          </w:tcPr>
          <w:p w14:paraId="7B6A919A">
            <w:pPr>
              <w:spacing w:line="360" w:lineRule="auto"/>
              <w:jc w:val="center"/>
              <w:rPr>
                <w:rFonts w:hint="eastAsia" w:ascii="宋体" w:hAnsi="宋体" w:eastAsia="宋体" w:cs="宋体"/>
                <w:color w:val="auto"/>
                <w:sz w:val="24"/>
                <w:szCs w:val="24"/>
                <w:highlight w:val="none"/>
                <w:lang w:bidi="ar"/>
              </w:rPr>
            </w:pPr>
            <w:r>
              <w:rPr>
                <w:rFonts w:hint="eastAsia" w:ascii="宋体" w:hAnsi="宋体" w:eastAsia="宋体" w:cs="宋体"/>
                <w:color w:val="000000"/>
                <w:sz w:val="24"/>
                <w:szCs w:val="24"/>
                <w:lang w:val="en-US" w:eastAsia="zh-CN"/>
              </w:rPr>
              <w:t>15</w:t>
            </w:r>
          </w:p>
        </w:tc>
        <w:tc>
          <w:tcPr>
            <w:tcW w:w="1249" w:type="dxa"/>
            <w:shd w:val="clear" w:color="auto" w:fill="auto"/>
            <w:vAlign w:val="center"/>
          </w:tcPr>
          <w:p w14:paraId="66BF7129">
            <w:pPr>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rPr>
              <w:t>6300</w:t>
            </w:r>
          </w:p>
        </w:tc>
        <w:tc>
          <w:tcPr>
            <w:tcW w:w="1751" w:type="dxa"/>
            <w:shd w:val="clear" w:color="auto" w:fill="auto"/>
            <w:vAlign w:val="center"/>
          </w:tcPr>
          <w:p w14:paraId="1B3AFD49">
            <w:pPr>
              <w:jc w:val="center"/>
              <w:textAlignment w:val="center"/>
              <w:rPr>
                <w:rFonts w:hint="eastAsia" w:ascii="宋体" w:hAnsi="宋体" w:eastAsia="宋体" w:cs="宋体"/>
                <w:color w:val="auto"/>
                <w:sz w:val="24"/>
                <w:szCs w:val="24"/>
                <w:highlight w:val="none"/>
                <w:lang w:val="en-US" w:eastAsia="zh-CN"/>
              </w:rPr>
            </w:pPr>
          </w:p>
        </w:tc>
      </w:tr>
    </w:tbl>
    <w:p w14:paraId="62127463">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lang w:val="en-US" w:eastAsia="zh-CN"/>
        </w:rPr>
        <w:t>7.2 服务期：1年。具体供货时间以采购人需求为准。</w:t>
      </w:r>
    </w:p>
    <w:p w14:paraId="79EC1566">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color w:val="auto"/>
          <w:sz w:val="24"/>
          <w:szCs w:val="24"/>
          <w:highlight w:val="none"/>
          <w:u w:val="none"/>
          <w:lang w:val="en-US" w:eastAsia="zh-CN"/>
        </w:rPr>
      </w:pPr>
      <w:r>
        <w:rPr>
          <w:rFonts w:hint="eastAsia" w:ascii="宋体" w:hAnsi="宋体" w:eastAsia="宋体" w:cs="宋体"/>
          <w:b w:val="0"/>
          <w:color w:val="auto"/>
          <w:sz w:val="24"/>
          <w:szCs w:val="24"/>
          <w:highlight w:val="none"/>
          <w:u w:val="none"/>
          <w:lang w:val="en-US" w:eastAsia="zh-CN"/>
        </w:rPr>
        <w:t>7.3 具体需求详见招标文件第三章“用户需求书”。</w:t>
      </w:r>
    </w:p>
    <w:p w14:paraId="72BF91D5">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投标人资格</w:t>
      </w:r>
      <w:r>
        <w:rPr>
          <w:rFonts w:hint="eastAsia" w:ascii="宋体" w:hAnsi="宋体" w:eastAsia="宋体" w:cs="宋体"/>
          <w:b/>
          <w:color w:val="auto"/>
          <w:sz w:val="24"/>
          <w:szCs w:val="24"/>
          <w:highlight w:val="none"/>
          <w:lang w:val="en-US" w:eastAsia="zh-CN"/>
        </w:rPr>
        <w:t>条件</w:t>
      </w:r>
    </w:p>
    <w:p w14:paraId="74AB18AB">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（1）在中华人民共和国境内注册，具有独立法人资格。提供营业执照（或者事业单位法人证书、社会团体法人登记证书、其他组织登记证明文件）副本复印件（加盖公章）；</w:t>
      </w:r>
    </w:p>
    <w:p w14:paraId="52FC0C43">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投标人若为生产厂家须具备以下有效证书或证明：①有效期内《安全生产许可证》、②有效期内《道路运输经营许可证》或与具备有效期内《道路运输经营许可证》第三方签订运输协议；投标人若为经销商须具备以下有效证书或证明：①有效期内《危险化学品经营许可证》、②有效期内《道路运输经营许可证》或与具备有效期内《道路运输经营许可证》第三方签订运输协议、③投标产品生产厂家出具的授权证明并同时提供该生产厂家的有效期内《安全生产许可证》；（以上许可证（除道路运输经营许可证外）许可范围均需包含片碱（氢氧化钠），以上资料需加盖公章）</w:t>
      </w:r>
    </w:p>
    <w:p w14:paraId="0220243E">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投标人在“信用中国”（www.creditchina.gov.cn）、中国政府采购网（www.ccgp.gov.cn）等其他官方网站没有被列入失信被执行人、重大税收违法案件当事人名单、政府采购严重违法失信行为记录名单、有责合同纠纷等不良记录（投标人无需提供，以招标代理开标当日网站查询结果为准）；</w:t>
      </w:r>
    </w:p>
    <w:p w14:paraId="62C2A384">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（4）近两年内未被列入《杭州市环境集团有限公司黑名单供应商名录库》和《杭州市环境集团有限公司不合格供应商名录库》（以招标人提供的名单为准）；</w:t>
      </w:r>
    </w:p>
    <w:p w14:paraId="7E16DA1F">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（5）与招标人存在利害关系可能影响招标公正性的单位，不得参加本项目投标。单位负责人为同一人或者存在控股、管理、关联关系的不同单位，不得同时参加本招标项目投标。</w:t>
      </w:r>
    </w:p>
    <w:p w14:paraId="76DAA61B">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（6）本项目不接受联合体投标。</w:t>
      </w:r>
    </w:p>
    <w:p w14:paraId="7D1A37F4">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注：上述证明资料须齐全、有效，复印件应加盖投标人单位公章（非电子投标项目所盖印章均物理印章，加盖电子印章的将被视为无效，下同），并在投标文件中提供。</w:t>
      </w:r>
    </w:p>
    <w:p w14:paraId="593F3CF8">
      <w:pPr>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9、投标人登记认证</w:t>
      </w:r>
    </w:p>
    <w:p w14:paraId="35E68F5F">
      <w:pPr>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凡首次参加杭州城投采购平台投标的投标人，应于投标截止日前（法定公休日、法定节假日除外）完成“杭州城投采购平台”注册登记和企业信息认证，并按招标公告要求完成网上报名。</w:t>
      </w:r>
    </w:p>
    <w:p w14:paraId="32C6DCD6">
      <w:pPr>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（1）“杭州城投采购平台”注册登记办理：</w:t>
      </w:r>
    </w:p>
    <w:p w14:paraId="7BB9A22D">
      <w:pPr>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在杭州城投采购平台网站首页（https://jczx.hzcjtz.com/）“平台登录”栏目点击“立即注册”完成企业信息注册登记。咨询电话：400-0666-571。</w:t>
      </w:r>
    </w:p>
    <w:p w14:paraId="7F410D7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杭州城投采购平台”企业信息认证：在杭州城投采购平台网站首页（https://jczx.hzcjtz.com/）点击“CA锁办理”跳转至CA锁办理平台自行完成企业CA锁办理，已在杭州市公共资源交易网办理天谷CA锁的投标人可以使用原有CA锁；使用已注册的管理员账号登录杭州城投采购平台，进入后台，点击“企业信息”菜单→“去认证”按钮，使用CA锁完成企业信息认证。咨询电话：400-0666-571）。</w:t>
      </w:r>
    </w:p>
    <w:p w14:paraId="3E69E831">
      <w:pPr>
        <w:pageBreakBefore w:val="0"/>
        <w:widowControl w:val="0"/>
        <w:kinsoku/>
        <w:wordWrap/>
        <w:overflowPunct/>
        <w:topLinePunct w:val="0"/>
        <w:autoSpaceDE/>
        <w:autoSpaceDN/>
        <w:bidi w:val="0"/>
        <w:adjustRightInd w:val="0"/>
        <w:snapToGrid w:val="0"/>
        <w:spacing w:line="360" w:lineRule="auto"/>
        <w:ind w:left="0" w:leftChars="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招标文件获取方式如下:</w:t>
      </w:r>
    </w:p>
    <w:p w14:paraId="2C954C9C">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本项目不设置线下报名环节，但需按“投标入库登记”完成网上报名。具体要求如下：</w:t>
      </w:r>
    </w:p>
    <w:p w14:paraId="4EE411C8">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（1）网上报名方式：投标截止日前完成登记认证后在杭州城投采购平台网站首页（https://jczx.hzcjtz.com）进行网上报名；如因供应商未按平台要求报名成功导致无法投标或开标异常的，供应商自行承担导致的后果。</w:t>
      </w:r>
    </w:p>
    <w:p w14:paraId="53999184">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（2）报名时须提交的资料：</w:t>
      </w:r>
    </w:p>
    <w:p w14:paraId="330089EC">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1.法定代表人授权委托书扫描件；</w:t>
      </w:r>
    </w:p>
    <w:p w14:paraId="3FF5CFB5">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2.营业执照扫描件；</w:t>
      </w:r>
    </w:p>
    <w:p w14:paraId="2CC6C69D">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3.授权代表有效身份证扫描件；</w:t>
      </w:r>
    </w:p>
    <w:p w14:paraId="38AB2264">
      <w:pPr>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上述资料扫描件均需加盖单位公章</w:t>
      </w:r>
    </w:p>
    <w:p w14:paraId="6CD48AA0">
      <w:pPr>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文件获取方式：本项目招标文件（含招标补充文件（若有）、相关技术资料和图纸（若有））以网上下载方式获取，下载网址： 杭州城投采购平台（投标人在网站公告页查看公告附件信息，包含招标文件，招标文件需登录后进行下载）、浙江政府采购网、杭州市环境集团有限公司官网；</w:t>
      </w:r>
    </w:p>
    <w:p w14:paraId="20041107">
      <w:pPr>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下载时间：自本项目招标公告发布之日起至投标截止时间止（投标人对招标文件提出问题截止时间：2024年11月15日17:00）。</w:t>
      </w:r>
    </w:p>
    <w:p w14:paraId="4D8EDBF8">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投标截止时间和投标地点：</w:t>
      </w:r>
    </w:p>
    <w:p w14:paraId="4D974458">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投标截止时间</w:t>
      </w:r>
      <w:r>
        <w:rPr>
          <w:rFonts w:hint="eastAsia" w:ascii="宋体" w:hAnsi="宋体" w:eastAsia="宋体" w:cs="宋体"/>
          <w:color w:val="auto"/>
          <w:sz w:val="24"/>
          <w:szCs w:val="24"/>
          <w:highlight w:val="none"/>
          <w:lang w:eastAsia="zh-CN"/>
        </w:rPr>
        <w:t>：</w:t>
      </w:r>
      <w:bookmarkStart w:id="2" w:name="OLE_LINK2"/>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10时15分</w:t>
      </w:r>
      <w:bookmarkEnd w:id="2"/>
      <w:r>
        <w:rPr>
          <w:rFonts w:hint="eastAsia" w:ascii="宋体" w:hAnsi="宋体" w:eastAsia="宋体" w:cs="宋体"/>
          <w:color w:val="auto"/>
          <w:sz w:val="24"/>
          <w:szCs w:val="24"/>
          <w:highlight w:val="none"/>
        </w:rPr>
        <w:t>（北京时间）</w:t>
      </w:r>
    </w:p>
    <w:p w14:paraId="2E0ECE02">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投标地点：</w:t>
      </w:r>
      <w:r>
        <w:rPr>
          <w:rFonts w:hint="eastAsia" w:ascii="宋体" w:hAnsi="宋体" w:eastAsia="宋体" w:cs="宋体"/>
          <w:color w:val="auto"/>
          <w:sz w:val="24"/>
          <w:szCs w:val="24"/>
          <w:highlight w:val="none"/>
          <w:u w:val="single"/>
          <w:lang w:val="en-US" w:eastAsia="zh-CN"/>
        </w:rPr>
        <w:t>杭州市上城区雷霆路90号321 开标室</w:t>
      </w:r>
    </w:p>
    <w:p w14:paraId="4799B7FD">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开标时间：同投标截止时间。</w:t>
      </w:r>
    </w:p>
    <w:p w14:paraId="160E38AF">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开标地点：同投标地点。</w:t>
      </w:r>
    </w:p>
    <w:p w14:paraId="467A3278">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逾期送达的、未送达指定地点的或者不按照招标文件要求密封的投标文件，招标人将予以拒收。</w:t>
      </w:r>
    </w:p>
    <w:p w14:paraId="12661552">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、投标保证金</w:t>
      </w:r>
    </w:p>
    <w:p w14:paraId="17433099">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u w:val="single"/>
          <w:lang w:val="en-US" w:eastAsia="zh-CN"/>
        </w:rPr>
        <w:sym w:font="Wingdings 2" w:char="0052"/>
      </w:r>
      <w:r>
        <w:rPr>
          <w:rFonts w:hint="eastAsia" w:ascii="宋体" w:hAnsi="宋体" w:eastAsia="宋体" w:cs="宋体"/>
          <w:color w:val="auto"/>
          <w:sz w:val="24"/>
          <w:szCs w:val="24"/>
          <w:highlight w:val="none"/>
          <w:u w:val="single"/>
          <w:lang w:val="en-US" w:eastAsia="zh-CN"/>
        </w:rPr>
        <w:t>需要缴纳</w:t>
      </w:r>
      <w:r>
        <w:rPr>
          <w:rFonts w:hint="eastAsia" w:ascii="宋体" w:hAnsi="宋体" w:eastAsia="宋体" w:cs="宋体"/>
          <w:color w:val="auto"/>
          <w:sz w:val="24"/>
          <w:szCs w:val="24"/>
          <w:highlight w:val="none"/>
          <w:lang w:val="en-US" w:eastAsia="zh-CN"/>
        </w:rPr>
        <w:t>投标保证金。缴纳投标保证金的具体要求如下：</w:t>
      </w:r>
    </w:p>
    <w:p w14:paraId="3C7B9777">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投标保证金金额：</w:t>
      </w:r>
      <w:r>
        <w:rPr>
          <w:rFonts w:hint="eastAsia" w:ascii="宋体" w:hAnsi="宋体" w:eastAsia="宋体" w:cs="宋体"/>
          <w:color w:val="auto"/>
          <w:sz w:val="24"/>
          <w:szCs w:val="24"/>
          <w:highlight w:val="none"/>
          <w:u w:val="single"/>
          <w:lang w:val="en-US" w:eastAsia="zh-CN"/>
        </w:rPr>
        <w:t>6900</w:t>
      </w:r>
      <w:r>
        <w:rPr>
          <w:rFonts w:hint="eastAsia" w:ascii="宋体" w:hAnsi="宋体" w:eastAsia="宋体" w:cs="宋体"/>
          <w:color w:val="auto"/>
          <w:sz w:val="24"/>
          <w:szCs w:val="24"/>
          <w:highlight w:val="none"/>
        </w:rPr>
        <w:t>元人民币</w:t>
      </w:r>
    </w:p>
    <w:p w14:paraId="4F48BF5A">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递交方式：电汇/转账（必须为投标企业账户汇出，个人形式递交或现金递交视为未缴纳）</w:t>
      </w:r>
    </w:p>
    <w:p w14:paraId="39442D92">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账户信息：</w:t>
      </w:r>
    </w:p>
    <w:p w14:paraId="40C06E99">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账户名称:</w:t>
      </w:r>
      <w:r>
        <w:rPr>
          <w:rFonts w:hint="eastAsia" w:ascii="宋体" w:hAnsi="宋体" w:eastAsia="宋体" w:cs="宋体"/>
          <w:color w:val="auto"/>
          <w:sz w:val="24"/>
          <w:highlight w:val="none"/>
          <w:lang w:val="en-US" w:eastAsia="zh-CN"/>
        </w:rPr>
        <w:t xml:space="preserve"> 杭州市能源集团有限公司</w:t>
      </w:r>
    </w:p>
    <w:p w14:paraId="56FDA11B">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账号:</w:t>
      </w:r>
      <w:r>
        <w:rPr>
          <w:rFonts w:hint="eastAsia" w:ascii="宋体" w:hAnsi="宋体" w:eastAsia="宋体" w:cs="宋体"/>
          <w:color w:val="auto"/>
          <w:sz w:val="24"/>
          <w:highlight w:val="none"/>
          <w:lang w:val="en-US" w:eastAsia="zh-CN"/>
        </w:rPr>
        <w:t xml:space="preserve"> 86041110000078615</w:t>
      </w:r>
    </w:p>
    <w:p w14:paraId="75B0F6B0">
      <w:pPr>
        <w:adjustRightInd w:val="0"/>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开户银行名称:</w:t>
      </w:r>
      <w:r>
        <w:rPr>
          <w:rFonts w:hint="eastAsia" w:ascii="宋体" w:hAnsi="宋体" w:eastAsia="宋体" w:cs="宋体"/>
          <w:color w:val="auto"/>
          <w:sz w:val="24"/>
          <w:highlight w:val="none"/>
          <w:lang w:val="en-US" w:eastAsia="zh-CN"/>
        </w:rPr>
        <w:t xml:space="preserve"> </w:t>
      </w:r>
      <w:r>
        <w:rPr>
          <w:rFonts w:hint="eastAsia" w:ascii="宋体" w:hAnsi="宋体" w:eastAsia="宋体" w:cs="宋体"/>
          <w:sz w:val="21"/>
          <w:szCs w:val="21"/>
          <w:highlight w:val="none"/>
        </w:rPr>
        <w:t>宁波银行杭州分行营业部</w:t>
      </w:r>
    </w:p>
    <w:p w14:paraId="1E6D6125">
      <w:pPr>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递交时间：请于投标截止时间前到达上述</w:t>
      </w:r>
      <w:r>
        <w:rPr>
          <w:rFonts w:hint="eastAsia" w:ascii="宋体" w:hAnsi="宋体" w:eastAsia="宋体" w:cs="宋体"/>
          <w:color w:val="auto"/>
          <w:sz w:val="24"/>
          <w:szCs w:val="24"/>
          <w:highlight w:val="none"/>
          <w:lang w:eastAsia="zh-CN"/>
        </w:rPr>
        <w:t>指定账户</w:t>
      </w:r>
      <w:r>
        <w:rPr>
          <w:rFonts w:hint="eastAsia" w:ascii="宋体" w:hAnsi="宋体" w:eastAsia="宋体" w:cs="宋体"/>
          <w:color w:val="auto"/>
          <w:sz w:val="24"/>
          <w:szCs w:val="24"/>
          <w:highlight w:val="none"/>
        </w:rPr>
        <w:t>中,且须单位账户递交。</w:t>
      </w:r>
      <w:r>
        <w:rPr>
          <w:rFonts w:hint="eastAsia" w:ascii="宋体" w:hAnsi="宋体" w:eastAsia="宋体" w:cs="宋体"/>
          <w:color w:val="auto"/>
          <w:sz w:val="24"/>
          <w:szCs w:val="24"/>
          <w:highlight w:val="none"/>
          <w:lang w:eastAsia="zh-CN"/>
        </w:rPr>
        <w:t>转账时</w:t>
      </w:r>
      <w:r>
        <w:rPr>
          <w:rFonts w:hint="eastAsia" w:ascii="宋体" w:hAnsi="宋体" w:eastAsia="宋体" w:cs="宋体"/>
          <w:color w:val="auto"/>
          <w:sz w:val="24"/>
          <w:szCs w:val="24"/>
          <w:highlight w:val="none"/>
          <w:lang w:val="en-US" w:eastAsia="zh-CN"/>
        </w:rPr>
        <w:t>备注项目名称及项目编号。</w:t>
      </w:r>
    </w:p>
    <w:p w14:paraId="0E39BDDB">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发布公告的媒介</w:t>
      </w:r>
    </w:p>
    <w:p w14:paraId="60B798F9">
      <w:pPr>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本项目相关公告在</w:t>
      </w:r>
      <w:r>
        <w:rPr>
          <w:rFonts w:hint="eastAsia" w:ascii="宋体" w:hAnsi="宋体" w:eastAsia="宋体" w:cs="宋体"/>
          <w:color w:val="auto"/>
          <w:sz w:val="24"/>
          <w:highlight w:val="none"/>
          <w:u w:val="single"/>
          <w:lang w:val="en-US" w:eastAsia="zh-CN"/>
        </w:rPr>
        <w:t>中国招标投标公共服务平台（http://www.cebpubservice.com/）、杭州市环境集团有限公司（https://www.cnlandfill.net/）、浙江政府采购网（http://zfcg.czt.zj.gov.cn/）、杭州城投招采平台（https://jczx.hzcjtz.com/home/#/home）</w:t>
      </w:r>
      <w:r>
        <w:rPr>
          <w:rFonts w:hint="eastAsia" w:ascii="宋体" w:hAnsi="宋体" w:eastAsia="宋体" w:cs="宋体"/>
          <w:color w:val="auto"/>
          <w:sz w:val="24"/>
          <w:highlight w:val="none"/>
          <w:lang w:val="en-US" w:eastAsia="zh-CN"/>
        </w:rPr>
        <w:t xml:space="preserve"> 发布，如公告内容、时间不一致的以</w:t>
      </w:r>
      <w:r>
        <w:rPr>
          <w:rFonts w:hint="eastAsia" w:ascii="宋体" w:hAnsi="宋体" w:eastAsia="宋体" w:cs="宋体"/>
          <w:color w:val="auto"/>
          <w:sz w:val="24"/>
          <w:highlight w:val="none"/>
          <w:u w:val="single"/>
          <w:lang w:val="en-US" w:eastAsia="zh-CN"/>
        </w:rPr>
        <w:t>杭州城投招采平台（https://jczx.hzcjtz.com/home/#/home）</w:t>
      </w:r>
      <w:r>
        <w:rPr>
          <w:rFonts w:hint="eastAsia" w:ascii="宋体" w:hAnsi="宋体" w:eastAsia="宋体" w:cs="宋体"/>
          <w:color w:val="auto"/>
          <w:sz w:val="24"/>
          <w:highlight w:val="none"/>
          <w:lang w:val="en-US" w:eastAsia="zh-CN"/>
        </w:rPr>
        <w:t>发布的信息、时间为准。</w:t>
      </w:r>
    </w:p>
    <w:p w14:paraId="3D37F00F">
      <w:pPr>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14、</w:t>
      </w:r>
      <w:r>
        <w:rPr>
          <w:rFonts w:hint="eastAsia" w:ascii="宋体" w:hAnsi="宋体" w:eastAsia="宋体" w:cs="宋体"/>
          <w:b/>
          <w:color w:val="auto"/>
          <w:sz w:val="24"/>
          <w:szCs w:val="24"/>
          <w:highlight w:val="none"/>
        </w:rPr>
        <w:t>联系方式</w:t>
      </w:r>
    </w:p>
    <w:p w14:paraId="7DFD1542">
      <w:pPr>
        <w:pStyle w:val="7"/>
        <w:tabs>
          <w:tab w:val="left" w:pos="4228"/>
          <w:tab w:val="left" w:pos="7990"/>
        </w:tabs>
        <w:snapToGrid w:val="0"/>
        <w:spacing w:after="0" w:line="360" w:lineRule="auto"/>
        <w:ind w:right="865" w:firstLine="420"/>
        <w:rPr>
          <w:rFonts w:hint="eastAsia" w:ascii="宋体" w:hAnsi="宋体" w:eastAsia="宋体" w:cs="宋体"/>
          <w:snapToGrid w:val="0"/>
          <w:color w:val="auto"/>
          <w:sz w:val="24"/>
          <w:szCs w:val="24"/>
          <w:highlight w:val="none"/>
          <w:u w:val="single"/>
          <w:lang w:val="en-US" w:eastAsia="zh-CN"/>
        </w:rPr>
      </w:pPr>
      <w:r>
        <w:rPr>
          <w:rFonts w:hint="eastAsia" w:ascii="宋体" w:hAnsi="宋体" w:eastAsia="宋体" w:cs="宋体"/>
          <w:snapToGrid w:val="0"/>
          <w:color w:val="auto"/>
          <w:kern w:val="0"/>
          <w:sz w:val="24"/>
          <w:szCs w:val="24"/>
          <w:highlight w:val="none"/>
        </w:rPr>
        <w:t>招 标 人：</w:t>
      </w:r>
      <w:r>
        <w:rPr>
          <w:rFonts w:hint="eastAsia" w:ascii="宋体" w:hAnsi="宋体" w:eastAsia="宋体" w:cs="宋体"/>
          <w:snapToGrid w:val="0"/>
          <w:color w:val="auto"/>
          <w:sz w:val="24"/>
          <w:szCs w:val="24"/>
          <w:highlight w:val="none"/>
          <w:u w:val="single"/>
          <w:lang w:val="en-US" w:eastAsia="zh-CN"/>
        </w:rPr>
        <w:t>杭州市环境集团有限公司</w:t>
      </w:r>
    </w:p>
    <w:p w14:paraId="0C5BFBF0">
      <w:pPr>
        <w:pStyle w:val="7"/>
        <w:tabs>
          <w:tab w:val="left" w:pos="4228"/>
          <w:tab w:val="left" w:pos="7990"/>
        </w:tabs>
        <w:snapToGrid w:val="0"/>
        <w:spacing w:after="0" w:line="360" w:lineRule="auto"/>
        <w:ind w:right="865" w:firstLine="420"/>
        <w:rPr>
          <w:rFonts w:hint="eastAsia" w:ascii="宋体" w:hAnsi="宋体" w:eastAsia="宋体" w:cs="宋体"/>
          <w:snapToGrid w:val="0"/>
          <w:color w:val="auto"/>
          <w:sz w:val="24"/>
          <w:szCs w:val="24"/>
          <w:highlight w:val="none"/>
          <w:u w:val="single"/>
          <w:lang w:val="en-US" w:eastAsia="zh-CN"/>
        </w:rPr>
      </w:pPr>
      <w:r>
        <w:rPr>
          <w:rFonts w:hint="eastAsia" w:ascii="宋体" w:hAnsi="宋体" w:eastAsia="宋体" w:cs="宋体"/>
          <w:snapToGrid w:val="0"/>
          <w:color w:val="auto"/>
          <w:kern w:val="0"/>
          <w:sz w:val="24"/>
          <w:szCs w:val="24"/>
          <w:highlight w:val="none"/>
          <w:lang w:val="en-US" w:eastAsia="zh-CN"/>
        </w:rPr>
        <w:t>地    址：</w:t>
      </w:r>
      <w:r>
        <w:rPr>
          <w:rFonts w:hint="eastAsia" w:ascii="宋体" w:hAnsi="宋体" w:eastAsia="宋体" w:cs="宋体"/>
          <w:snapToGrid w:val="0"/>
          <w:color w:val="auto"/>
          <w:sz w:val="24"/>
          <w:szCs w:val="24"/>
          <w:highlight w:val="none"/>
          <w:u w:val="single"/>
          <w:lang w:val="en-US" w:eastAsia="zh-CN"/>
        </w:rPr>
        <w:t>杭州市拱墅区临半路90号</w:t>
      </w:r>
    </w:p>
    <w:p w14:paraId="2BDD1471">
      <w:pPr>
        <w:pStyle w:val="7"/>
        <w:tabs>
          <w:tab w:val="left" w:pos="4228"/>
          <w:tab w:val="left" w:pos="7990"/>
        </w:tabs>
        <w:snapToGrid w:val="0"/>
        <w:spacing w:after="0" w:line="360" w:lineRule="auto"/>
        <w:ind w:right="865" w:firstLine="420"/>
        <w:rPr>
          <w:rFonts w:hint="eastAsia" w:ascii="宋体" w:hAnsi="宋体" w:eastAsia="宋体" w:cs="宋体"/>
          <w:snapToGrid w:val="0"/>
          <w:color w:val="auto"/>
          <w:sz w:val="24"/>
          <w:szCs w:val="24"/>
          <w:highlight w:val="none"/>
          <w:u w:val="single"/>
          <w:lang w:val="en-US" w:eastAsia="zh-CN"/>
        </w:rPr>
      </w:pPr>
      <w:r>
        <w:rPr>
          <w:rFonts w:hint="eastAsia" w:ascii="宋体" w:hAnsi="宋体" w:eastAsia="宋体" w:cs="宋体"/>
          <w:snapToGrid w:val="0"/>
          <w:color w:val="auto"/>
          <w:kern w:val="0"/>
          <w:sz w:val="24"/>
          <w:szCs w:val="24"/>
          <w:highlight w:val="none"/>
          <w:lang w:val="en-US" w:eastAsia="zh-CN"/>
        </w:rPr>
        <w:t>联 系 人：</w:t>
      </w:r>
      <w:r>
        <w:rPr>
          <w:rFonts w:hint="eastAsia" w:ascii="宋体" w:hAnsi="宋体" w:eastAsia="宋体" w:cs="宋体"/>
          <w:snapToGrid w:val="0"/>
          <w:color w:val="auto"/>
          <w:sz w:val="24"/>
          <w:szCs w:val="24"/>
          <w:highlight w:val="none"/>
          <w:u w:val="single"/>
          <w:lang w:val="en-US" w:eastAsia="zh-CN"/>
        </w:rPr>
        <w:t>何工</w:t>
      </w:r>
    </w:p>
    <w:p w14:paraId="1B6258F8">
      <w:pPr>
        <w:pStyle w:val="7"/>
        <w:tabs>
          <w:tab w:val="left" w:pos="4228"/>
          <w:tab w:val="left" w:pos="7990"/>
        </w:tabs>
        <w:snapToGrid w:val="0"/>
        <w:spacing w:after="0" w:line="360" w:lineRule="auto"/>
        <w:ind w:right="865" w:firstLine="420"/>
        <w:rPr>
          <w:rFonts w:hint="eastAsia" w:ascii="宋体" w:hAnsi="宋体" w:eastAsia="宋体" w:cs="宋体"/>
          <w:snapToGrid w:val="0"/>
          <w:color w:val="auto"/>
          <w:sz w:val="24"/>
          <w:szCs w:val="24"/>
          <w:highlight w:val="none"/>
          <w:u w:val="single"/>
          <w:lang w:val="en-US" w:eastAsia="zh-CN"/>
        </w:rPr>
      </w:pPr>
      <w:r>
        <w:rPr>
          <w:rFonts w:hint="eastAsia" w:ascii="宋体" w:hAnsi="宋体" w:eastAsia="宋体" w:cs="宋体"/>
          <w:snapToGrid w:val="0"/>
          <w:color w:val="auto"/>
          <w:kern w:val="0"/>
          <w:sz w:val="24"/>
          <w:szCs w:val="24"/>
          <w:highlight w:val="none"/>
          <w:lang w:val="en-US" w:eastAsia="zh-CN"/>
        </w:rPr>
        <w:t>电    话：</w:t>
      </w:r>
      <w:r>
        <w:rPr>
          <w:rFonts w:hint="eastAsia" w:ascii="宋体" w:hAnsi="宋体" w:eastAsia="宋体" w:cs="宋体"/>
          <w:snapToGrid w:val="0"/>
          <w:color w:val="auto"/>
          <w:sz w:val="24"/>
          <w:szCs w:val="24"/>
          <w:highlight w:val="none"/>
          <w:u w:val="single"/>
          <w:lang w:val="en-US" w:eastAsia="zh-CN"/>
        </w:rPr>
        <w:t>0571-883109</w:t>
      </w:r>
      <w:r>
        <w:rPr>
          <w:rFonts w:hint="eastAsia" w:ascii="宋体" w:hAnsi="宋体" w:cs="宋体"/>
          <w:snapToGrid w:val="0"/>
          <w:color w:val="auto"/>
          <w:sz w:val="24"/>
          <w:szCs w:val="24"/>
          <w:highlight w:val="none"/>
          <w:u w:val="single"/>
          <w:lang w:val="en-US" w:eastAsia="zh-CN"/>
        </w:rPr>
        <w:t>78</w:t>
      </w:r>
      <w:r>
        <w:rPr>
          <w:rFonts w:hint="eastAsia" w:ascii="宋体" w:hAnsi="宋体" w:eastAsia="宋体" w:cs="宋体"/>
          <w:snapToGrid w:val="0"/>
          <w:color w:val="auto"/>
          <w:sz w:val="24"/>
          <w:szCs w:val="24"/>
          <w:highlight w:val="none"/>
          <w:u w:val="single"/>
          <w:lang w:val="en-US" w:eastAsia="zh-CN"/>
        </w:rPr>
        <w:t xml:space="preserve"> </w:t>
      </w:r>
    </w:p>
    <w:p w14:paraId="6C8D952F">
      <w:pPr>
        <w:pStyle w:val="7"/>
        <w:tabs>
          <w:tab w:val="left" w:pos="4228"/>
          <w:tab w:val="left" w:pos="7990"/>
        </w:tabs>
        <w:snapToGrid w:val="0"/>
        <w:spacing w:after="0" w:line="360" w:lineRule="auto"/>
        <w:ind w:right="865" w:firstLine="420"/>
        <w:rPr>
          <w:rFonts w:hint="eastAsia" w:ascii="宋体" w:hAnsi="宋体" w:eastAsia="宋体" w:cs="宋体"/>
          <w:snapToGrid w:val="0"/>
          <w:color w:val="auto"/>
          <w:kern w:val="0"/>
          <w:sz w:val="24"/>
          <w:szCs w:val="24"/>
          <w:highlight w:val="none"/>
        </w:rPr>
      </w:pPr>
    </w:p>
    <w:p w14:paraId="4EE1BFC7">
      <w:pPr>
        <w:pStyle w:val="7"/>
        <w:tabs>
          <w:tab w:val="left" w:pos="4228"/>
          <w:tab w:val="left" w:pos="7990"/>
        </w:tabs>
        <w:snapToGrid w:val="0"/>
        <w:spacing w:after="0" w:line="360" w:lineRule="auto"/>
        <w:ind w:right="865" w:firstLine="42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招标代理：</w:t>
      </w:r>
      <w:r>
        <w:rPr>
          <w:rFonts w:hint="eastAsia" w:ascii="宋体" w:hAnsi="宋体" w:eastAsia="宋体" w:cs="宋体"/>
          <w:snapToGrid w:val="0"/>
          <w:color w:val="auto"/>
          <w:kern w:val="0"/>
          <w:sz w:val="24"/>
          <w:szCs w:val="24"/>
          <w:highlight w:val="none"/>
          <w:u w:val="single"/>
        </w:rPr>
        <w:t>中冠工程管理咨询有限公司</w:t>
      </w:r>
    </w:p>
    <w:p w14:paraId="155431B7">
      <w:pPr>
        <w:pStyle w:val="7"/>
        <w:tabs>
          <w:tab w:val="left" w:pos="4228"/>
          <w:tab w:val="left" w:pos="7990"/>
        </w:tabs>
        <w:snapToGrid w:val="0"/>
        <w:spacing w:after="0" w:line="360" w:lineRule="auto"/>
        <w:ind w:right="865" w:firstLine="420"/>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rPr>
        <w:t>地    址：</w:t>
      </w:r>
      <w:r>
        <w:rPr>
          <w:rFonts w:hint="eastAsia" w:ascii="宋体" w:hAnsi="宋体" w:eastAsia="宋体" w:cs="宋体"/>
          <w:snapToGrid w:val="0"/>
          <w:color w:val="auto"/>
          <w:sz w:val="24"/>
          <w:szCs w:val="24"/>
          <w:highlight w:val="none"/>
          <w:u w:val="single"/>
          <w:lang w:val="en-US" w:eastAsia="zh-CN"/>
        </w:rPr>
        <w:t>杭州市钱塘区义蓬街道义蓬路114号农商银行3楼</w:t>
      </w:r>
    </w:p>
    <w:p w14:paraId="39B31C44">
      <w:pPr>
        <w:pStyle w:val="7"/>
        <w:tabs>
          <w:tab w:val="left" w:pos="4228"/>
          <w:tab w:val="left" w:pos="7990"/>
        </w:tabs>
        <w:snapToGrid w:val="0"/>
        <w:spacing w:after="0" w:line="360" w:lineRule="auto"/>
        <w:ind w:right="865" w:firstLine="420"/>
        <w:rPr>
          <w:rFonts w:hint="eastAsia" w:ascii="宋体" w:hAnsi="宋体" w:eastAsia="宋体" w:cs="宋体"/>
          <w:snapToGrid w:val="0"/>
          <w:color w:val="auto"/>
          <w:kern w:val="0"/>
          <w:sz w:val="24"/>
          <w:szCs w:val="24"/>
          <w:highlight w:val="none"/>
          <w:u w:val="single"/>
          <w:lang w:eastAsia="zh-CN"/>
        </w:rPr>
      </w:pPr>
      <w:r>
        <w:rPr>
          <w:rFonts w:hint="eastAsia" w:ascii="宋体" w:hAnsi="宋体" w:eastAsia="宋体" w:cs="宋体"/>
          <w:snapToGrid w:val="0"/>
          <w:color w:val="auto"/>
          <w:kern w:val="0"/>
          <w:sz w:val="24"/>
          <w:szCs w:val="24"/>
          <w:highlight w:val="none"/>
        </w:rPr>
        <w:t>联 系 人：</w:t>
      </w:r>
      <w:r>
        <w:rPr>
          <w:rFonts w:hint="eastAsia" w:ascii="宋体" w:hAnsi="宋体" w:eastAsia="宋体" w:cs="宋体"/>
          <w:snapToGrid w:val="0"/>
          <w:color w:val="auto"/>
          <w:kern w:val="0"/>
          <w:sz w:val="24"/>
          <w:szCs w:val="24"/>
          <w:highlight w:val="none"/>
          <w:u w:val="single"/>
          <w:lang w:val="en-US" w:eastAsia="zh-CN"/>
        </w:rPr>
        <w:t>周咪咪</w:t>
      </w:r>
    </w:p>
    <w:p w14:paraId="7009BC7B">
      <w:pPr>
        <w:pStyle w:val="7"/>
        <w:tabs>
          <w:tab w:val="left" w:pos="4228"/>
          <w:tab w:val="left" w:pos="7990"/>
        </w:tabs>
        <w:snapToGrid w:val="0"/>
        <w:spacing w:after="0" w:line="360" w:lineRule="auto"/>
        <w:ind w:right="865" w:firstLine="420"/>
        <w:rPr>
          <w:rFonts w:hint="eastAsia" w:ascii="宋体" w:hAnsi="宋体" w:eastAsia="宋体" w:cs="宋体"/>
          <w:snapToGrid w:val="0"/>
          <w:color w:val="auto"/>
          <w:kern w:val="0"/>
          <w:sz w:val="24"/>
          <w:szCs w:val="24"/>
          <w:highlight w:val="none"/>
          <w:u w:val="single"/>
          <w:lang w:val="en-US" w:eastAsia="zh-CN"/>
        </w:rPr>
      </w:pPr>
      <w:r>
        <w:rPr>
          <w:rFonts w:hint="eastAsia" w:ascii="宋体" w:hAnsi="宋体" w:eastAsia="宋体" w:cs="宋体"/>
          <w:snapToGrid w:val="0"/>
          <w:color w:val="auto"/>
          <w:kern w:val="0"/>
          <w:sz w:val="24"/>
          <w:szCs w:val="24"/>
          <w:highlight w:val="none"/>
        </w:rPr>
        <w:t>电    话：</w:t>
      </w:r>
      <w:r>
        <w:rPr>
          <w:rFonts w:hint="eastAsia" w:ascii="宋体" w:hAnsi="宋体" w:eastAsia="宋体" w:cs="宋体"/>
          <w:snapToGrid w:val="0"/>
          <w:color w:val="auto"/>
          <w:kern w:val="0"/>
          <w:sz w:val="24"/>
          <w:szCs w:val="24"/>
          <w:highlight w:val="none"/>
          <w:u w:val="single"/>
          <w:lang w:val="en-US" w:eastAsia="zh-CN"/>
        </w:rPr>
        <w:t>13735862673</w:t>
      </w:r>
    </w:p>
    <w:p w14:paraId="2046500A">
      <w:pPr>
        <w:pStyle w:val="7"/>
        <w:tabs>
          <w:tab w:val="left" w:pos="4228"/>
          <w:tab w:val="left" w:pos="7990"/>
        </w:tabs>
        <w:snapToGrid w:val="0"/>
        <w:spacing w:after="0" w:line="360" w:lineRule="auto"/>
        <w:ind w:right="865" w:firstLine="42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电子邮件：</w:t>
      </w:r>
      <w:r>
        <w:rPr>
          <w:rFonts w:hint="eastAsia" w:ascii="宋体" w:hAnsi="宋体" w:eastAsia="宋体" w:cs="宋体"/>
          <w:snapToGrid w:val="0"/>
          <w:color w:val="auto"/>
          <w:kern w:val="0"/>
          <w:sz w:val="24"/>
          <w:szCs w:val="24"/>
          <w:highlight w:val="none"/>
          <w:u w:val="single"/>
          <w:lang w:val="en-US" w:eastAsia="zh-CN"/>
        </w:rPr>
        <w:t>925112307</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qq.com</w:t>
      </w:r>
    </w:p>
    <w:p w14:paraId="40879057">
      <w:pPr>
        <w:pStyle w:val="32"/>
        <w:pageBreakBefore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2024</w:t>
      </w:r>
      <w:r>
        <w:rPr>
          <w:rFonts w:hint="eastAsia" w:ascii="宋体" w:hAnsi="宋体" w:eastAsia="宋体" w:cs="宋体"/>
          <w:snapToGrid w:val="0"/>
          <w:color w:val="auto"/>
          <w:kern w:val="0"/>
          <w:sz w:val="24"/>
          <w:szCs w:val="24"/>
          <w:highlight w:val="none"/>
          <w:lang w:val="en-US" w:eastAsia="zh-CN" w:bidi="ar"/>
        </w:rPr>
        <w:t>年</w:t>
      </w:r>
      <w:r>
        <w:rPr>
          <w:rFonts w:hint="eastAsia" w:ascii="宋体" w:hAnsi="宋体" w:cs="宋体"/>
          <w:snapToGrid w:val="0"/>
          <w:color w:val="auto"/>
          <w:kern w:val="0"/>
          <w:sz w:val="24"/>
          <w:szCs w:val="24"/>
          <w:highlight w:val="none"/>
          <w:u w:val="single"/>
          <w:lang w:val="en-US" w:eastAsia="zh-CN" w:bidi="ar"/>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w:t>
      </w:r>
    </w:p>
    <w:p w14:paraId="7216DC03">
      <w:pPr>
        <w:widowControl/>
        <w:spacing w:line="440" w:lineRule="exact"/>
        <w:jc w:val="center"/>
        <w:outlineLvl w:val="9"/>
        <w:rPr>
          <w:rFonts w:hint="eastAsia" w:ascii="宋体" w:hAnsi="宋体" w:eastAsia="宋体" w:cs="宋体"/>
          <w:b/>
          <w:bCs/>
          <w:color w:val="auto"/>
          <w:kern w:val="0"/>
          <w:sz w:val="32"/>
          <w:szCs w:val="32"/>
          <w:highlight w:val="none"/>
        </w:rPr>
      </w:pPr>
    </w:p>
    <w:p w14:paraId="472F5823">
      <w:pPr>
        <w:widowControl/>
        <w:spacing w:line="440" w:lineRule="exact"/>
        <w:jc w:val="both"/>
        <w:outlineLvl w:val="9"/>
        <w:rPr>
          <w:rFonts w:hint="eastAsia" w:ascii="宋体" w:hAnsi="宋体" w:eastAsia="宋体" w:cs="宋体"/>
          <w:b/>
          <w:bCs/>
          <w:color w:val="auto"/>
          <w:kern w:val="0"/>
          <w:sz w:val="32"/>
          <w:szCs w:val="32"/>
          <w:highlight w:val="none"/>
        </w:rPr>
      </w:pPr>
    </w:p>
    <w:p w14:paraId="00F396E1">
      <w:pPr>
        <w:widowControl/>
        <w:spacing w:line="240" w:lineRule="auto"/>
        <w:jc w:val="left"/>
        <w:outlineLvl w:val="9"/>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6E545794">
      <w:pPr>
        <w:widowControl/>
        <w:spacing w:line="440" w:lineRule="exact"/>
        <w:jc w:val="center"/>
        <w:outlineLvl w:val="0"/>
        <w:rPr>
          <w:rFonts w:hint="eastAsia" w:ascii="宋体" w:hAnsi="宋体" w:eastAsia="宋体" w:cs="宋体"/>
          <w:b/>
          <w:bCs/>
          <w:color w:val="auto"/>
          <w:kern w:val="0"/>
          <w:sz w:val="32"/>
          <w:szCs w:val="32"/>
          <w:highlight w:val="none"/>
        </w:rPr>
      </w:pPr>
      <w:r>
        <w:rPr>
          <w:rFonts w:hint="eastAsia" w:ascii="宋体" w:hAnsi="宋体" w:eastAsia="宋体" w:cs="宋体"/>
          <w:b w:val="0"/>
          <w:bCs w:val="0"/>
          <w:color w:val="auto"/>
          <w:kern w:val="0"/>
          <w:sz w:val="32"/>
          <w:szCs w:val="32"/>
          <w:highlight w:val="none"/>
        </w:rPr>
        <w:t>第二章 投标人须知</w:t>
      </w:r>
    </w:p>
    <w:p w14:paraId="697507EE">
      <w:pPr>
        <w:widowControl/>
        <w:spacing w:line="440" w:lineRule="exact"/>
        <w:ind w:firstLine="3373" w:firstLineChars="1400"/>
        <w:outlineLvl w:val="1"/>
        <w:rPr>
          <w:rFonts w:hint="eastAsia" w:ascii="宋体" w:hAnsi="宋体" w:eastAsia="宋体" w:cs="宋体"/>
          <w:b/>
          <w:color w:val="auto"/>
          <w:sz w:val="24"/>
          <w:szCs w:val="24"/>
          <w:highlight w:val="none"/>
        </w:rPr>
      </w:pPr>
      <w:r>
        <w:rPr>
          <w:rFonts w:hint="eastAsia" w:ascii="宋体" w:hAnsi="宋体" w:eastAsia="宋体" w:cs="宋体"/>
          <w:b/>
          <w:bCs/>
          <w:color w:val="auto"/>
          <w:kern w:val="0"/>
          <w:sz w:val="24"/>
          <w:szCs w:val="24"/>
          <w:highlight w:val="none"/>
        </w:rPr>
        <w:t>投标人须知</w:t>
      </w:r>
      <w:r>
        <w:rPr>
          <w:rFonts w:hint="eastAsia" w:ascii="宋体" w:hAnsi="宋体" w:eastAsia="宋体" w:cs="宋体"/>
          <w:b/>
          <w:color w:val="auto"/>
          <w:sz w:val="24"/>
          <w:szCs w:val="24"/>
          <w:highlight w:val="none"/>
        </w:rPr>
        <w:t>前附表</w:t>
      </w:r>
    </w:p>
    <w:tbl>
      <w:tblPr>
        <w:tblStyle w:val="24"/>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11"/>
        <w:gridCol w:w="6255"/>
      </w:tblGrid>
      <w:tr w14:paraId="1542F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02" w:type="dxa"/>
            <w:tcBorders>
              <w:top w:val="single" w:color="auto" w:sz="12" w:space="0"/>
            </w:tcBorders>
            <w:noWrap w:val="0"/>
            <w:vAlign w:val="center"/>
          </w:tcPr>
          <w:p w14:paraId="04FBFFBC">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条款号</w:t>
            </w:r>
          </w:p>
        </w:tc>
        <w:tc>
          <w:tcPr>
            <w:tcW w:w="1911" w:type="dxa"/>
            <w:tcBorders>
              <w:top w:val="single" w:color="auto" w:sz="12" w:space="0"/>
            </w:tcBorders>
            <w:noWrap w:val="0"/>
            <w:vAlign w:val="center"/>
          </w:tcPr>
          <w:p w14:paraId="7CEDA402">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条 款 名 称</w:t>
            </w:r>
          </w:p>
        </w:tc>
        <w:tc>
          <w:tcPr>
            <w:tcW w:w="6255" w:type="dxa"/>
            <w:tcBorders>
              <w:top w:val="single" w:color="auto" w:sz="12" w:space="0"/>
            </w:tcBorders>
            <w:noWrap w:val="0"/>
            <w:vAlign w:val="center"/>
          </w:tcPr>
          <w:p w14:paraId="353FA4C7">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编 列 内 容</w:t>
            </w:r>
          </w:p>
        </w:tc>
      </w:tr>
      <w:tr w14:paraId="64FDF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600C4EEF">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1.2</w:t>
            </w:r>
          </w:p>
        </w:tc>
        <w:tc>
          <w:tcPr>
            <w:tcW w:w="1911" w:type="dxa"/>
            <w:noWrap w:val="0"/>
            <w:vAlign w:val="center"/>
          </w:tcPr>
          <w:p w14:paraId="0515F2ED">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招标组织形式</w:t>
            </w:r>
          </w:p>
        </w:tc>
        <w:tc>
          <w:tcPr>
            <w:tcW w:w="6255" w:type="dxa"/>
            <w:noWrap w:val="0"/>
            <w:vAlign w:val="center"/>
          </w:tcPr>
          <w:p w14:paraId="3960AD1F">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color w:val="auto"/>
                <w:kern w:val="0"/>
                <w:sz w:val="24"/>
                <w:szCs w:val="24"/>
                <w:highlight w:val="none"/>
                <w:lang w:val="zh-CN"/>
              </w:rPr>
              <w:t>本项目采用</w:t>
            </w:r>
            <w:r>
              <w:rPr>
                <w:rFonts w:hint="eastAsia" w:ascii="宋体" w:hAnsi="宋体" w:eastAsia="宋体" w:cs="宋体"/>
                <w:color w:val="auto"/>
                <w:kern w:val="2"/>
                <w:sz w:val="24"/>
                <w:szCs w:val="24"/>
                <w:highlight w:val="none"/>
                <w:u w:val="none"/>
                <w:lang w:val="en-US" w:eastAsia="zh-CN"/>
              </w:rPr>
              <w:t xml:space="preserve"> </w:t>
            </w:r>
            <w:r>
              <w:rPr>
                <w:rFonts w:hint="eastAsia" w:ascii="宋体" w:hAnsi="宋体" w:eastAsia="宋体" w:cs="宋体"/>
                <w:snapToGrid w:val="0"/>
                <w:color w:val="auto"/>
                <w:sz w:val="24"/>
                <w:szCs w:val="24"/>
                <w:highlight w:val="none"/>
                <w:lang w:eastAsia="zh-CN"/>
              </w:rPr>
              <w:sym w:font="Wingdings 2" w:char="0052"/>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color w:val="auto"/>
                <w:kern w:val="0"/>
                <w:sz w:val="24"/>
                <w:szCs w:val="24"/>
                <w:highlight w:val="none"/>
                <w:u w:val="single"/>
                <w:lang w:val="zh-CN"/>
              </w:rPr>
              <w:t>委托招标</w:t>
            </w:r>
            <w:r>
              <w:rPr>
                <w:rFonts w:hint="eastAsia" w:ascii="宋体" w:hAnsi="宋体" w:eastAsia="宋体" w:cs="宋体"/>
                <w:color w:val="auto"/>
                <w:kern w:val="0"/>
                <w:sz w:val="24"/>
                <w:szCs w:val="24"/>
                <w:highlight w:val="none"/>
                <w:lang w:val="en-US" w:eastAsia="zh-CN"/>
              </w:rPr>
              <w:t>方式。</w:t>
            </w:r>
          </w:p>
        </w:tc>
      </w:tr>
      <w:tr w14:paraId="3836D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61B7B4F6">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1.1.3</w:t>
            </w:r>
          </w:p>
        </w:tc>
        <w:tc>
          <w:tcPr>
            <w:tcW w:w="1911" w:type="dxa"/>
            <w:noWrap w:val="0"/>
            <w:vAlign w:val="center"/>
          </w:tcPr>
          <w:p w14:paraId="14D41CA6">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w:t>
            </w:r>
          </w:p>
        </w:tc>
        <w:tc>
          <w:tcPr>
            <w:tcW w:w="6255" w:type="dxa"/>
            <w:noWrap w:val="0"/>
            <w:vAlign w:val="center"/>
          </w:tcPr>
          <w:p w14:paraId="4529CF62">
            <w:pPr>
              <w:pStyle w:val="45"/>
              <w:keepNext w:val="0"/>
              <w:keepLines w:val="0"/>
              <w:suppressLineNumbers w:val="0"/>
              <w:snapToGrid w:val="0"/>
              <w:spacing w:before="0" w:beforeAutospacing="0" w:after="0" w:afterAutospacing="0" w:line="360" w:lineRule="auto"/>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名    称：杭州市环境集团有限公司</w:t>
            </w:r>
          </w:p>
          <w:p w14:paraId="2C532026">
            <w:pPr>
              <w:pStyle w:val="45"/>
              <w:keepNext w:val="0"/>
              <w:keepLines w:val="0"/>
              <w:suppressLineNumbers w:val="0"/>
              <w:snapToGrid w:val="0"/>
              <w:spacing w:before="0" w:beforeAutospacing="0" w:after="0" w:afterAutospacing="0" w:line="360" w:lineRule="auto"/>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地    址：</w:t>
            </w:r>
            <w:r>
              <w:rPr>
                <w:rFonts w:hint="eastAsia" w:ascii="宋体" w:hAnsi="宋体" w:eastAsia="宋体" w:cs="宋体"/>
                <w:snapToGrid w:val="0"/>
                <w:color w:val="auto"/>
                <w:kern w:val="0"/>
                <w:sz w:val="24"/>
                <w:szCs w:val="24"/>
                <w:highlight w:val="none"/>
                <w:u w:val="single"/>
              </w:rPr>
              <w:t>杭州市拱墅区临半路90号</w:t>
            </w:r>
          </w:p>
          <w:p w14:paraId="6544B913">
            <w:pPr>
              <w:pStyle w:val="45"/>
              <w:keepNext w:val="0"/>
              <w:keepLines w:val="0"/>
              <w:suppressLineNumbers w:val="0"/>
              <w:snapToGrid w:val="0"/>
              <w:spacing w:before="0" w:beforeAutospacing="0" w:after="0" w:afterAutospacing="0" w:line="360" w:lineRule="auto"/>
              <w:ind w:left="0" w:right="64" w:rightChars="20"/>
              <w:jc w:val="both"/>
              <w:rPr>
                <w:rFonts w:hint="eastAsia" w:ascii="宋体" w:hAnsi="宋体" w:eastAsia="宋体" w:cs="宋体"/>
                <w:snapToGrid w:val="0"/>
                <w:color w:val="auto"/>
                <w:sz w:val="24"/>
                <w:szCs w:val="24"/>
                <w:highlight w:val="none"/>
                <w:lang w:val="zh-CN" w:eastAsia="zh-CN"/>
              </w:rPr>
            </w:pPr>
            <w:r>
              <w:rPr>
                <w:rFonts w:hint="eastAsia" w:ascii="宋体" w:hAnsi="宋体" w:eastAsia="宋体" w:cs="宋体"/>
                <w:snapToGrid w:val="0"/>
                <w:color w:val="auto"/>
                <w:sz w:val="24"/>
                <w:szCs w:val="24"/>
                <w:highlight w:val="none"/>
                <w:lang w:val="zh-CN" w:eastAsia="zh-CN"/>
              </w:rPr>
              <w:t>联 系 人：</w:t>
            </w:r>
            <w:r>
              <w:rPr>
                <w:rFonts w:hint="eastAsia" w:ascii="宋体" w:hAnsi="宋体" w:eastAsia="宋体" w:cs="宋体"/>
                <w:snapToGrid w:val="0"/>
                <w:color w:val="auto"/>
                <w:kern w:val="0"/>
                <w:sz w:val="24"/>
                <w:szCs w:val="24"/>
                <w:highlight w:val="none"/>
                <w:u w:val="single"/>
              </w:rPr>
              <w:t>何工</w:t>
            </w:r>
          </w:p>
          <w:p w14:paraId="30A053E1">
            <w:pPr>
              <w:pStyle w:val="45"/>
              <w:keepNext w:val="0"/>
              <w:keepLines w:val="0"/>
              <w:suppressLineNumbers w:val="0"/>
              <w:snapToGrid w:val="0"/>
              <w:spacing w:before="0" w:beforeAutospacing="0" w:after="0" w:afterAutospacing="0" w:line="360" w:lineRule="auto"/>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val="zh-CN" w:eastAsia="zh-CN"/>
              </w:rPr>
              <w:t>联系电话：</w:t>
            </w:r>
            <w:r>
              <w:rPr>
                <w:rFonts w:hint="eastAsia" w:ascii="宋体" w:hAnsi="宋体" w:eastAsia="宋体" w:cs="宋体"/>
                <w:snapToGrid w:val="0"/>
                <w:color w:val="auto"/>
                <w:sz w:val="24"/>
                <w:szCs w:val="24"/>
                <w:highlight w:val="none"/>
                <w:u w:val="single"/>
                <w:lang w:val="zh-CN" w:eastAsia="zh-CN"/>
              </w:rPr>
              <w:t>0571-883109</w:t>
            </w:r>
            <w:r>
              <w:rPr>
                <w:rFonts w:hint="eastAsia" w:cs="宋体"/>
                <w:snapToGrid w:val="0"/>
                <w:color w:val="auto"/>
                <w:sz w:val="24"/>
                <w:szCs w:val="24"/>
                <w:highlight w:val="none"/>
                <w:u w:val="single"/>
                <w:lang w:val="en-US" w:eastAsia="zh-CN"/>
              </w:rPr>
              <w:t>78</w:t>
            </w:r>
            <w:bookmarkStart w:id="114" w:name="_GoBack"/>
            <w:bookmarkEnd w:id="114"/>
            <w:r>
              <w:rPr>
                <w:rFonts w:hint="eastAsia" w:ascii="宋体" w:hAnsi="宋体" w:eastAsia="宋体" w:cs="宋体"/>
                <w:snapToGrid w:val="0"/>
                <w:color w:val="auto"/>
                <w:sz w:val="24"/>
                <w:szCs w:val="24"/>
                <w:highlight w:val="none"/>
                <w:u w:val="single"/>
                <w:lang w:val="zh-CN" w:eastAsia="zh-CN"/>
              </w:rPr>
              <w:t xml:space="preserve"> </w:t>
            </w:r>
          </w:p>
        </w:tc>
      </w:tr>
      <w:tr w14:paraId="2AD8A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2B393ECF">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1.1.5</w:t>
            </w:r>
          </w:p>
        </w:tc>
        <w:tc>
          <w:tcPr>
            <w:tcW w:w="1911" w:type="dxa"/>
            <w:noWrap w:val="0"/>
            <w:vAlign w:val="center"/>
          </w:tcPr>
          <w:p w14:paraId="7EFAE0FF">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招标代理机构</w:t>
            </w:r>
          </w:p>
        </w:tc>
        <w:tc>
          <w:tcPr>
            <w:tcW w:w="6255" w:type="dxa"/>
            <w:noWrap w:val="0"/>
            <w:vAlign w:val="center"/>
          </w:tcPr>
          <w:p w14:paraId="08425F5F">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名    称：</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snapToGrid w:val="0"/>
                <w:color w:val="auto"/>
                <w:kern w:val="0"/>
                <w:sz w:val="24"/>
                <w:szCs w:val="24"/>
                <w:highlight w:val="none"/>
                <w:u w:val="single"/>
                <w:lang w:val="en-US" w:eastAsia="zh-CN"/>
              </w:rPr>
              <w:t>中冠工程管理咨询有限公司</w:t>
            </w:r>
          </w:p>
          <w:p w14:paraId="41584B96">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    址：</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snapToGrid w:val="0"/>
                <w:color w:val="auto"/>
                <w:sz w:val="24"/>
                <w:szCs w:val="24"/>
                <w:highlight w:val="none"/>
                <w:u w:val="single"/>
                <w:lang w:val="en-US" w:eastAsia="zh-CN"/>
              </w:rPr>
              <w:t>杭州市钱塘区义蓬街道义蓬路114号农商银行3楼</w:t>
            </w:r>
          </w:p>
          <w:p w14:paraId="2EA1F98D">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 系 人：</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snapToGrid w:val="0"/>
                <w:color w:val="auto"/>
                <w:kern w:val="0"/>
                <w:sz w:val="24"/>
                <w:szCs w:val="24"/>
                <w:highlight w:val="none"/>
                <w:u w:val="single"/>
                <w:lang w:val="en-US" w:eastAsia="zh-CN"/>
              </w:rPr>
              <w:t>周咪咪</w:t>
            </w:r>
          </w:p>
          <w:p w14:paraId="789286D6">
            <w:pPr>
              <w:pStyle w:val="45"/>
              <w:keepNext w:val="0"/>
              <w:keepLines w:val="0"/>
              <w:suppressLineNumbers w:val="0"/>
              <w:snapToGrid w:val="0"/>
              <w:spacing w:before="0" w:beforeAutospacing="0" w:after="0" w:afterAutospacing="0" w:line="360" w:lineRule="auto"/>
              <w:ind w:left="0" w:right="64" w:rightChars="20"/>
              <w:jc w:val="both"/>
              <w:rPr>
                <w:rFonts w:hint="eastAsia" w:ascii="宋体" w:hAnsi="宋体" w:eastAsia="宋体" w:cs="宋体"/>
                <w:snapToGrid w:val="0"/>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zh-CN"/>
              </w:rPr>
              <w:t>联系电话：</w:t>
            </w:r>
            <w:r>
              <w:rPr>
                <w:rFonts w:hint="eastAsia" w:ascii="宋体" w:hAnsi="宋体" w:eastAsia="宋体" w:cs="宋体"/>
                <w:snapToGrid w:val="0"/>
                <w:color w:val="auto"/>
                <w:kern w:val="0"/>
                <w:sz w:val="24"/>
                <w:szCs w:val="24"/>
                <w:highlight w:val="none"/>
                <w:u w:val="single"/>
                <w:lang w:val="en-US" w:eastAsia="zh-CN"/>
              </w:rPr>
              <w:t>13735862673</w:t>
            </w:r>
          </w:p>
          <w:p w14:paraId="73C4F52E">
            <w:pPr>
              <w:pStyle w:val="45"/>
              <w:keepNext w:val="0"/>
              <w:keepLines w:val="0"/>
              <w:suppressLineNumbers w:val="0"/>
              <w:snapToGrid w:val="0"/>
              <w:spacing w:before="0" w:beforeAutospacing="0" w:after="0" w:afterAutospacing="0" w:line="360" w:lineRule="auto"/>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邮</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lang w:eastAsia="zh-CN"/>
              </w:rPr>
              <w:t>箱：</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snapToGrid w:val="0"/>
                <w:color w:val="auto"/>
                <w:kern w:val="0"/>
                <w:sz w:val="24"/>
                <w:szCs w:val="24"/>
                <w:highlight w:val="none"/>
                <w:u w:val="single"/>
                <w:lang w:val="en-US" w:eastAsia="zh-CN"/>
              </w:rPr>
              <w:t>925112307</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u w:val="single"/>
                <w:lang w:val="en-US" w:eastAsia="zh-CN"/>
              </w:rPr>
              <w:t>qq.com</w:t>
            </w:r>
          </w:p>
        </w:tc>
      </w:tr>
      <w:tr w14:paraId="1F744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777F6FF6">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1.1.6</w:t>
            </w:r>
          </w:p>
        </w:tc>
        <w:tc>
          <w:tcPr>
            <w:tcW w:w="1911" w:type="dxa"/>
            <w:noWrap w:val="0"/>
            <w:vAlign w:val="center"/>
          </w:tcPr>
          <w:p w14:paraId="501BA572">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项目概况</w:t>
            </w:r>
          </w:p>
        </w:tc>
        <w:tc>
          <w:tcPr>
            <w:tcW w:w="6255" w:type="dxa"/>
            <w:noWrap w:val="0"/>
            <w:vAlign w:val="center"/>
          </w:tcPr>
          <w:p w14:paraId="612EC73F">
            <w:pPr>
              <w:pStyle w:val="19"/>
              <w:keepNext w:val="0"/>
              <w:keepLines w:val="0"/>
              <w:suppressLineNumbers w:val="0"/>
              <w:adjustRightInd w:val="0"/>
              <w:snapToGrid w:val="0"/>
              <w:spacing w:before="0" w:beforeAutospacing="0" w:after="0" w:afterAutospacing="0" w:line="380" w:lineRule="exact"/>
              <w:ind w:left="0" w:right="0"/>
              <w:rPr>
                <w:rFonts w:hint="eastAsia" w:ascii="宋体" w:hAnsi="宋体" w:eastAsia="宋体" w:cs="宋体"/>
                <w:b/>
                <w:bCs/>
                <w:color w:val="auto"/>
                <w:sz w:val="24"/>
                <w:szCs w:val="24"/>
                <w:highlight w:val="none"/>
                <w:lang w:eastAsia="zh-CN"/>
              </w:rPr>
            </w:pPr>
            <w:r>
              <w:rPr>
                <w:rFonts w:hint="eastAsia" w:ascii="宋体" w:hAnsi="宋体" w:eastAsia="宋体" w:cs="宋体"/>
                <w:snapToGrid w:val="0"/>
                <w:color w:val="auto"/>
                <w:sz w:val="24"/>
                <w:szCs w:val="24"/>
                <w:highlight w:val="none"/>
                <w:lang w:eastAsia="zh-CN"/>
              </w:rPr>
              <w:t>招标编号：</w:t>
            </w:r>
            <w:r>
              <w:rPr>
                <w:rFonts w:hint="eastAsia" w:ascii="宋体" w:hAnsi="宋体" w:eastAsia="宋体" w:cs="宋体"/>
                <w:snapToGrid w:val="0"/>
                <w:color w:val="auto"/>
                <w:kern w:val="0"/>
                <w:sz w:val="24"/>
                <w:szCs w:val="24"/>
                <w:highlight w:val="none"/>
                <w:u w:val="single"/>
                <w:lang w:val="en-US" w:eastAsia="zh-CN"/>
              </w:rPr>
              <w:t>NY-4HZB2410031</w:t>
            </w:r>
            <w:r>
              <w:rPr>
                <w:rFonts w:hint="eastAsia" w:ascii="宋体" w:hAnsi="宋体" w:eastAsia="宋体" w:cs="宋体"/>
                <w:snapToGrid w:val="0"/>
                <w:color w:val="auto"/>
                <w:kern w:val="0"/>
                <w:sz w:val="24"/>
                <w:szCs w:val="24"/>
                <w:highlight w:val="none"/>
                <w:u w:val="none"/>
                <w:lang w:val="en-US" w:eastAsia="zh-CN"/>
              </w:rPr>
              <w:t>。</w:t>
            </w:r>
          </w:p>
          <w:p w14:paraId="2C3D6BEF">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szCs w:val="24"/>
                <w:highlight w:val="none"/>
                <w:lang w:eastAsia="zh-CN"/>
              </w:rPr>
              <w:t>项目名称：</w:t>
            </w:r>
            <w:r>
              <w:rPr>
                <w:rFonts w:hint="eastAsia" w:ascii="宋体" w:hAnsi="宋体" w:eastAsia="宋体" w:cs="宋体"/>
                <w:snapToGrid w:val="0"/>
                <w:color w:val="auto"/>
                <w:kern w:val="0"/>
                <w:sz w:val="24"/>
                <w:szCs w:val="24"/>
                <w:highlight w:val="none"/>
                <w:u w:val="single"/>
              </w:rPr>
              <w:tab/>
            </w:r>
            <w:r>
              <w:rPr>
                <w:rFonts w:hint="eastAsia" w:ascii="宋体" w:hAnsi="宋体" w:eastAsia="宋体" w:cs="宋体"/>
                <w:snapToGrid w:val="0"/>
                <w:color w:val="auto"/>
                <w:kern w:val="0"/>
                <w:sz w:val="24"/>
                <w:szCs w:val="24"/>
                <w:highlight w:val="none"/>
                <w:u w:val="single"/>
                <w:lang w:val="en-US" w:eastAsia="zh-CN"/>
              </w:rPr>
              <w:t>2024-2025年片碱采购项目</w:t>
            </w:r>
            <w:r>
              <w:rPr>
                <w:rFonts w:hint="eastAsia" w:ascii="宋体" w:hAnsi="宋体" w:eastAsia="宋体" w:cs="宋体"/>
                <w:snapToGrid w:val="0"/>
                <w:color w:val="auto"/>
                <w:kern w:val="0"/>
                <w:sz w:val="24"/>
                <w:szCs w:val="24"/>
                <w:highlight w:val="none"/>
                <w:u w:val="none"/>
                <w:lang w:val="en-US" w:eastAsia="zh-CN"/>
              </w:rPr>
              <w:t>。</w:t>
            </w:r>
          </w:p>
          <w:p w14:paraId="622A8099">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项目地点：招标人指定地点。</w:t>
            </w:r>
          </w:p>
          <w:p w14:paraId="3FAD0D28">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本期概算</w:t>
            </w:r>
            <w:r>
              <w:rPr>
                <w:rFonts w:hint="eastAsia" w:ascii="宋体" w:hAnsi="宋体" w:eastAsia="宋体" w:cs="宋体"/>
                <w:color w:val="auto"/>
                <w:sz w:val="24"/>
                <w:szCs w:val="24"/>
                <w:highlight w:val="none"/>
              </w:rPr>
              <w:t>：</w:t>
            </w:r>
            <w:r>
              <w:rPr>
                <w:rFonts w:hint="eastAsia" w:cs="宋体"/>
                <w:b/>
                <w:color w:val="auto"/>
                <w:sz w:val="24"/>
                <w:szCs w:val="24"/>
                <w:highlight w:val="none"/>
                <w:u w:val="single"/>
                <w:lang w:val="en-US" w:eastAsia="zh-CN"/>
              </w:rPr>
              <w:t>34.524</w:t>
            </w:r>
            <w:r>
              <w:rPr>
                <w:rFonts w:hint="eastAsia" w:ascii="宋体" w:hAnsi="宋体" w:eastAsia="宋体" w:cs="宋体"/>
                <w:b/>
                <w:color w:val="auto"/>
                <w:sz w:val="24"/>
                <w:szCs w:val="24"/>
                <w:highlight w:val="none"/>
                <w:u w:val="single"/>
                <w:lang w:val="en-US" w:eastAsia="zh-CN"/>
              </w:rPr>
              <w:t>万元</w:t>
            </w:r>
            <w:r>
              <w:rPr>
                <w:rFonts w:hint="eastAsia" w:ascii="宋体" w:hAnsi="宋体" w:eastAsia="宋体" w:cs="宋体"/>
                <w:color w:val="auto"/>
                <w:sz w:val="24"/>
                <w:szCs w:val="24"/>
                <w:highlight w:val="none"/>
                <w:u w:val="single"/>
                <w:lang w:eastAsia="zh-CN"/>
              </w:rPr>
              <w:t>；</w:t>
            </w:r>
          </w:p>
          <w:p w14:paraId="466F480D">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color w:val="auto"/>
                <w:sz w:val="24"/>
                <w:szCs w:val="24"/>
                <w:highlight w:val="yellow"/>
                <w:u w:val="single"/>
                <w:lang w:eastAsia="zh-CN"/>
              </w:rPr>
            </w:pPr>
            <w:r>
              <w:rPr>
                <w:rFonts w:hint="eastAsia" w:ascii="宋体" w:hAnsi="宋体" w:eastAsia="宋体" w:cs="宋体"/>
                <w:b/>
                <w:color w:val="auto"/>
                <w:sz w:val="24"/>
                <w:szCs w:val="24"/>
                <w:highlight w:val="none"/>
              </w:rPr>
              <w:t>项目最高限价</w:t>
            </w:r>
            <w:r>
              <w:rPr>
                <w:rFonts w:hint="eastAsia" w:ascii="宋体" w:hAnsi="宋体" w:eastAsia="宋体" w:cs="宋体"/>
                <w:b/>
                <w:color w:val="auto"/>
                <w:sz w:val="24"/>
                <w:szCs w:val="24"/>
                <w:highlight w:val="none"/>
                <w:lang w:eastAsia="zh-CN"/>
              </w:rPr>
              <w:t>：总价</w:t>
            </w:r>
            <w:r>
              <w:rPr>
                <w:rFonts w:hint="eastAsia" w:ascii="宋体" w:hAnsi="宋体" w:eastAsia="宋体" w:cs="宋体"/>
                <w:b/>
                <w:color w:val="auto"/>
                <w:sz w:val="24"/>
                <w:szCs w:val="24"/>
                <w:highlight w:val="none"/>
                <w:lang w:val="en-US" w:eastAsia="zh-CN"/>
              </w:rPr>
              <w:t>最高限价34.524</w:t>
            </w:r>
            <w:r>
              <w:rPr>
                <w:rFonts w:hint="eastAsia" w:ascii="宋体" w:hAnsi="宋体" w:eastAsia="宋体" w:cs="宋体"/>
                <w:b/>
                <w:color w:val="auto"/>
                <w:sz w:val="24"/>
                <w:szCs w:val="24"/>
                <w:highlight w:val="none"/>
                <w:u w:val="none"/>
                <w:lang w:val="en-US" w:eastAsia="zh-CN"/>
              </w:rPr>
              <w:t>万元；</w:t>
            </w:r>
            <w:r>
              <w:rPr>
                <w:rFonts w:hint="eastAsia" w:ascii="宋体" w:hAnsi="宋体" w:eastAsia="宋体" w:cs="宋体"/>
                <w:b/>
                <w:color w:val="auto"/>
                <w:sz w:val="24"/>
                <w:szCs w:val="24"/>
                <w:highlight w:val="none"/>
                <w:lang w:val="en-US" w:eastAsia="zh-CN"/>
              </w:rPr>
              <w:t>单价最高限价6300</w:t>
            </w:r>
            <w:r>
              <w:rPr>
                <w:rFonts w:hint="eastAsia" w:ascii="宋体" w:hAnsi="宋体" w:eastAsia="宋体" w:cs="宋体"/>
                <w:b/>
                <w:color w:val="auto"/>
                <w:sz w:val="24"/>
                <w:szCs w:val="24"/>
                <w:highlight w:val="none"/>
              </w:rPr>
              <w:t>元/吨，</w:t>
            </w:r>
            <w:r>
              <w:rPr>
                <w:rFonts w:hint="eastAsia" w:ascii="宋体" w:hAnsi="宋体" w:eastAsia="宋体" w:cs="宋体"/>
                <w:b/>
                <w:bCs/>
                <w:snapToGrid w:val="0"/>
                <w:color w:val="auto"/>
                <w:kern w:val="2"/>
                <w:sz w:val="24"/>
                <w:szCs w:val="24"/>
                <w:highlight w:val="none"/>
                <w:u w:val="single"/>
                <w:lang w:val="zh-CN" w:eastAsia="zh-CN" w:bidi="ar-SA"/>
              </w:rPr>
              <w:t>投标人的投标报价超过总价限价</w:t>
            </w:r>
            <w:r>
              <w:rPr>
                <w:rFonts w:hint="eastAsia" w:ascii="宋体" w:hAnsi="宋体" w:eastAsia="宋体" w:cs="宋体"/>
                <w:b/>
                <w:bCs/>
                <w:snapToGrid w:val="0"/>
                <w:color w:val="auto"/>
                <w:kern w:val="2"/>
                <w:sz w:val="24"/>
                <w:szCs w:val="24"/>
                <w:highlight w:val="none"/>
                <w:u w:val="single"/>
                <w:lang w:val="en-US" w:eastAsia="zh-CN" w:bidi="ar-SA"/>
              </w:rPr>
              <w:t>或</w:t>
            </w:r>
            <w:r>
              <w:rPr>
                <w:rFonts w:hint="eastAsia" w:ascii="宋体" w:hAnsi="宋体" w:eastAsia="宋体" w:cs="宋体"/>
                <w:b/>
                <w:bCs/>
                <w:snapToGrid w:val="0"/>
                <w:color w:val="auto"/>
                <w:kern w:val="2"/>
                <w:sz w:val="24"/>
                <w:szCs w:val="24"/>
                <w:highlight w:val="none"/>
                <w:u w:val="single"/>
                <w:lang w:val="zh-CN" w:eastAsia="zh-CN" w:bidi="ar-SA"/>
              </w:rPr>
              <w:t>单价限价的，将作无效标处理</w:t>
            </w:r>
            <w:r>
              <w:rPr>
                <w:rFonts w:hint="eastAsia" w:ascii="宋体" w:hAnsi="宋体" w:eastAsia="宋体" w:cs="宋体"/>
                <w:b/>
                <w:color w:val="auto"/>
                <w:sz w:val="24"/>
                <w:szCs w:val="24"/>
                <w:highlight w:val="none"/>
              </w:rPr>
              <w:t>。</w:t>
            </w:r>
          </w:p>
          <w:p w14:paraId="156AEB15">
            <w:pPr>
              <w:keepNext w:val="0"/>
              <w:keepLines w:val="0"/>
              <w:suppressLineNumbers w:val="0"/>
              <w:spacing w:before="0" w:beforeAutospacing="0" w:after="0" w:afterAutospacing="0"/>
              <w:ind w:left="0" w:right="0"/>
              <w:rPr>
                <w:rFonts w:hint="eastAsia" w:ascii="宋体" w:hAnsi="宋体" w:eastAsia="宋体" w:cs="宋体"/>
                <w:snapToGrid w:val="0"/>
                <w:color w:val="auto"/>
                <w:sz w:val="24"/>
                <w:szCs w:val="24"/>
                <w:highlight w:val="none"/>
                <w:lang w:eastAsia="zh-CN"/>
              </w:rPr>
            </w:pPr>
            <w:r>
              <w:rPr>
                <w:rFonts w:hint="eastAsia" w:ascii="宋体" w:hAnsi="宋体" w:eastAsia="宋体" w:cs="宋体"/>
                <w:color w:val="auto"/>
                <w:sz w:val="24"/>
                <w:szCs w:val="24"/>
                <w:highlight w:val="none"/>
                <w:lang w:eastAsia="zh-CN"/>
              </w:rPr>
              <w:t>招标方式：</w:t>
            </w:r>
            <w:r>
              <w:rPr>
                <w:rFonts w:hint="eastAsia" w:ascii="宋体" w:hAnsi="宋体" w:eastAsia="宋体" w:cs="宋体"/>
                <w:color w:val="auto"/>
                <w:sz w:val="24"/>
                <w:szCs w:val="24"/>
                <w:highlight w:val="none"/>
                <w:u w:val="single"/>
                <w:lang w:eastAsia="zh-CN"/>
              </w:rPr>
              <w:t>公开招标。</w:t>
            </w:r>
          </w:p>
        </w:tc>
      </w:tr>
      <w:tr w14:paraId="388DE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088812B1">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1.2.1</w:t>
            </w:r>
          </w:p>
        </w:tc>
        <w:tc>
          <w:tcPr>
            <w:tcW w:w="1911" w:type="dxa"/>
            <w:noWrap w:val="0"/>
            <w:vAlign w:val="center"/>
          </w:tcPr>
          <w:p w14:paraId="25CC26A0">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资金来源</w:t>
            </w:r>
          </w:p>
          <w:p w14:paraId="73DA9E10">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及</w:t>
            </w:r>
            <w:r>
              <w:rPr>
                <w:rFonts w:hint="eastAsia" w:ascii="宋体" w:hAnsi="宋体" w:eastAsia="宋体" w:cs="宋体"/>
                <w:snapToGrid w:val="0"/>
                <w:color w:val="auto"/>
                <w:sz w:val="24"/>
                <w:szCs w:val="24"/>
                <w:highlight w:val="none"/>
                <w:lang w:eastAsia="zh-CN"/>
              </w:rPr>
              <w:t>落实情况</w:t>
            </w:r>
          </w:p>
        </w:tc>
        <w:tc>
          <w:tcPr>
            <w:tcW w:w="6255" w:type="dxa"/>
            <w:noWrap w:val="0"/>
            <w:vAlign w:val="center"/>
          </w:tcPr>
          <w:p w14:paraId="43984AD8">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已落实，自筹</w:t>
            </w:r>
          </w:p>
        </w:tc>
      </w:tr>
      <w:tr w14:paraId="052BC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1FEC215C">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1.3.1</w:t>
            </w:r>
          </w:p>
        </w:tc>
        <w:tc>
          <w:tcPr>
            <w:tcW w:w="1911" w:type="dxa"/>
            <w:noWrap w:val="0"/>
            <w:vAlign w:val="center"/>
          </w:tcPr>
          <w:p w14:paraId="31BC7C33">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招标范围</w:t>
            </w:r>
            <w:r>
              <w:rPr>
                <w:rFonts w:hint="eastAsia" w:ascii="宋体" w:hAnsi="宋体" w:eastAsia="宋体" w:cs="宋体"/>
                <w:snapToGrid w:val="0"/>
                <w:color w:val="auto"/>
                <w:sz w:val="24"/>
                <w:szCs w:val="24"/>
                <w:highlight w:val="none"/>
                <w:lang w:eastAsia="zh-CN"/>
              </w:rPr>
              <w:t>及内容</w:t>
            </w:r>
          </w:p>
        </w:tc>
        <w:tc>
          <w:tcPr>
            <w:tcW w:w="6255" w:type="dxa"/>
            <w:noWrap w:val="0"/>
            <w:vAlign w:val="center"/>
          </w:tcPr>
          <w:p w14:paraId="799FD65B">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见招标公告</w:t>
            </w:r>
          </w:p>
        </w:tc>
      </w:tr>
      <w:tr w14:paraId="300D3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706EABF1">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1.4.1</w:t>
            </w:r>
          </w:p>
          <w:p w14:paraId="5B51BA5A">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sz w:val="24"/>
                <w:szCs w:val="24"/>
                <w:highlight w:val="none"/>
                <w:lang w:eastAsia="zh-CN"/>
              </w:rPr>
              <w:t>1.4.2</w:t>
            </w:r>
          </w:p>
        </w:tc>
        <w:tc>
          <w:tcPr>
            <w:tcW w:w="1911" w:type="dxa"/>
            <w:noWrap w:val="0"/>
            <w:vAlign w:val="center"/>
          </w:tcPr>
          <w:p w14:paraId="5727D221">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投标人资格审查方式、资格条件</w:t>
            </w:r>
          </w:p>
        </w:tc>
        <w:tc>
          <w:tcPr>
            <w:tcW w:w="6255" w:type="dxa"/>
            <w:noWrap w:val="0"/>
            <w:vAlign w:val="center"/>
          </w:tcPr>
          <w:p w14:paraId="40930977">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投标人资格审查方式：资格后审</w:t>
            </w:r>
          </w:p>
          <w:p w14:paraId="2AE4B5D1">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投标人资格条件见招标公告</w:t>
            </w:r>
          </w:p>
        </w:tc>
      </w:tr>
      <w:tr w14:paraId="7DF38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1E208CFF">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eastAsia="zh-CN"/>
              </w:rPr>
              <w:t>5</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eastAsia="zh-CN"/>
              </w:rPr>
              <w:t>1</w:t>
            </w:r>
          </w:p>
        </w:tc>
        <w:tc>
          <w:tcPr>
            <w:tcW w:w="1911" w:type="dxa"/>
            <w:noWrap w:val="0"/>
            <w:vAlign w:val="center"/>
          </w:tcPr>
          <w:p w14:paraId="67802C61">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联合体投标</w:t>
            </w:r>
            <w:r>
              <w:rPr>
                <w:rFonts w:hint="eastAsia" w:ascii="宋体" w:hAnsi="宋体" w:eastAsia="宋体" w:cs="宋体"/>
                <w:snapToGrid w:val="0"/>
                <w:color w:val="auto"/>
                <w:sz w:val="24"/>
                <w:szCs w:val="24"/>
                <w:highlight w:val="none"/>
                <w:lang w:eastAsia="zh-CN"/>
              </w:rPr>
              <w:t>要求</w:t>
            </w:r>
          </w:p>
        </w:tc>
        <w:tc>
          <w:tcPr>
            <w:tcW w:w="6255" w:type="dxa"/>
            <w:noWrap w:val="0"/>
            <w:vAlign w:val="center"/>
          </w:tcPr>
          <w:p w14:paraId="0BA876E7">
            <w:pPr>
              <w:pStyle w:val="19"/>
              <w:keepNext w:val="0"/>
              <w:keepLines w:val="0"/>
              <w:suppressLineNumbers w:val="0"/>
              <w:adjustRightInd w:val="0"/>
              <w:snapToGrid w:val="0"/>
              <w:spacing w:before="0" w:beforeAutospacing="0" w:after="0" w:afterAutospacing="0" w:line="400" w:lineRule="exact"/>
              <w:ind w:left="0" w:right="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eastAsia="zh-CN"/>
              </w:rPr>
              <w:t>☑不接受</w:t>
            </w:r>
          </w:p>
        </w:tc>
      </w:tr>
      <w:tr w14:paraId="01D8F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02" w:type="dxa"/>
            <w:noWrap w:val="0"/>
            <w:vAlign w:val="center"/>
          </w:tcPr>
          <w:p w14:paraId="4EAE911F">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sz w:val="24"/>
                <w:szCs w:val="24"/>
                <w:highlight w:val="none"/>
                <w:lang w:eastAsia="zh-CN"/>
              </w:rPr>
              <w:t>1.6.1</w:t>
            </w:r>
          </w:p>
        </w:tc>
        <w:tc>
          <w:tcPr>
            <w:tcW w:w="1911" w:type="dxa"/>
            <w:noWrap w:val="0"/>
            <w:vAlign w:val="center"/>
          </w:tcPr>
          <w:p w14:paraId="47920302">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关联性投标要求</w:t>
            </w:r>
          </w:p>
        </w:tc>
        <w:tc>
          <w:tcPr>
            <w:tcW w:w="6255" w:type="dxa"/>
            <w:noWrap w:val="0"/>
            <w:vAlign w:val="center"/>
          </w:tcPr>
          <w:p w14:paraId="6C94B5A9">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见招标公告</w:t>
            </w:r>
          </w:p>
        </w:tc>
      </w:tr>
      <w:tr w14:paraId="42A35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2" w:type="dxa"/>
            <w:noWrap w:val="0"/>
            <w:vAlign w:val="center"/>
          </w:tcPr>
          <w:p w14:paraId="13728636">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1.7.1</w:t>
            </w:r>
          </w:p>
        </w:tc>
        <w:tc>
          <w:tcPr>
            <w:tcW w:w="1911" w:type="dxa"/>
            <w:noWrap w:val="0"/>
            <w:vAlign w:val="center"/>
          </w:tcPr>
          <w:p w14:paraId="3439AE48">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分包</w:t>
            </w:r>
          </w:p>
        </w:tc>
        <w:tc>
          <w:tcPr>
            <w:tcW w:w="6255" w:type="dxa"/>
            <w:noWrap w:val="0"/>
            <w:vAlign w:val="center"/>
          </w:tcPr>
          <w:p w14:paraId="10886166">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（1）分包：</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不允许</w:t>
            </w:r>
          </w:p>
        </w:tc>
      </w:tr>
      <w:tr w14:paraId="1C1D5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42F4D4E0">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1.8</w:t>
            </w:r>
          </w:p>
        </w:tc>
        <w:tc>
          <w:tcPr>
            <w:tcW w:w="1911" w:type="dxa"/>
            <w:noWrap w:val="0"/>
            <w:vAlign w:val="center"/>
          </w:tcPr>
          <w:p w14:paraId="76BD3B8D">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eastAsia="zh-CN"/>
              </w:rPr>
              <w:t>响应和</w:t>
            </w:r>
            <w:r>
              <w:rPr>
                <w:rFonts w:hint="eastAsia" w:ascii="宋体" w:hAnsi="宋体" w:eastAsia="宋体" w:cs="宋体"/>
                <w:snapToGrid w:val="0"/>
                <w:color w:val="auto"/>
                <w:sz w:val="24"/>
                <w:szCs w:val="24"/>
                <w:highlight w:val="none"/>
              </w:rPr>
              <w:t>偏差</w:t>
            </w:r>
          </w:p>
        </w:tc>
        <w:tc>
          <w:tcPr>
            <w:tcW w:w="6255" w:type="dxa"/>
            <w:noWrap w:val="0"/>
            <w:vAlign w:val="center"/>
          </w:tcPr>
          <w:p w14:paraId="12F2D7FA">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对投标响应和偏差的要求详见投标人须知1.8</w:t>
            </w:r>
          </w:p>
        </w:tc>
      </w:tr>
      <w:tr w14:paraId="47B46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65911175">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sz w:val="24"/>
                <w:szCs w:val="24"/>
                <w:highlight w:val="none"/>
                <w:lang w:eastAsia="zh-CN"/>
              </w:rPr>
              <w:t>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eastAsia="zh-CN"/>
              </w:rPr>
              <w:t>2</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eastAsia="zh-CN"/>
              </w:rPr>
              <w:t>1</w:t>
            </w:r>
          </w:p>
        </w:tc>
        <w:tc>
          <w:tcPr>
            <w:tcW w:w="1911" w:type="dxa"/>
            <w:noWrap w:val="0"/>
            <w:vAlign w:val="center"/>
          </w:tcPr>
          <w:p w14:paraId="46E016C6">
            <w:pPr>
              <w:pStyle w:val="45"/>
              <w:keepNext w:val="0"/>
              <w:keepLines w:val="0"/>
              <w:suppressLineNumbers w:val="0"/>
              <w:snapToGrid w:val="0"/>
              <w:spacing w:before="0" w:beforeAutospacing="0" w:after="0" w:afterAutospacing="0" w:line="400" w:lineRule="exact"/>
              <w:ind w:left="0" w:right="64" w:rightChars="20"/>
              <w:jc w:val="center"/>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招标文件的获取</w:t>
            </w:r>
          </w:p>
        </w:tc>
        <w:tc>
          <w:tcPr>
            <w:tcW w:w="6255" w:type="dxa"/>
            <w:noWrap w:val="0"/>
            <w:vAlign w:val="center"/>
          </w:tcPr>
          <w:p w14:paraId="6BBE80E0">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招标文件的获取方式、要求见招标公告</w:t>
            </w:r>
          </w:p>
        </w:tc>
      </w:tr>
      <w:tr w14:paraId="7F52B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4590B216">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2.3.1</w:t>
            </w:r>
          </w:p>
        </w:tc>
        <w:tc>
          <w:tcPr>
            <w:tcW w:w="1911" w:type="dxa"/>
            <w:noWrap w:val="0"/>
            <w:vAlign w:val="center"/>
          </w:tcPr>
          <w:p w14:paraId="35EB6DEC">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对招标文件提出问题的截止时间、方式</w:t>
            </w:r>
          </w:p>
        </w:tc>
        <w:tc>
          <w:tcPr>
            <w:tcW w:w="6255" w:type="dxa"/>
            <w:noWrap w:val="0"/>
            <w:vAlign w:val="center"/>
          </w:tcPr>
          <w:p w14:paraId="0EDEDB1E">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提出问题截止时间：</w:t>
            </w:r>
            <w:r>
              <w:rPr>
                <w:rFonts w:hint="eastAsia" w:ascii="宋体" w:hAnsi="宋体" w:eastAsia="宋体" w:cs="宋体"/>
                <w:b/>
                <w:bCs/>
                <w:color w:val="auto"/>
                <w:kern w:val="0"/>
                <w:sz w:val="24"/>
                <w:szCs w:val="24"/>
                <w:highlight w:val="none"/>
                <w:u w:val="single"/>
                <w:lang w:val="en-US" w:eastAsia="zh-CN"/>
              </w:rPr>
              <w:t>2024</w:t>
            </w:r>
            <w:r>
              <w:rPr>
                <w:rFonts w:hint="eastAsia" w:ascii="宋体" w:hAnsi="宋体" w:eastAsia="宋体" w:cs="宋体"/>
                <w:b/>
                <w:bCs/>
                <w:color w:val="auto"/>
                <w:kern w:val="0"/>
                <w:sz w:val="24"/>
                <w:szCs w:val="24"/>
                <w:highlight w:val="none"/>
                <w:u w:val="single"/>
              </w:rPr>
              <w:t>年</w:t>
            </w:r>
            <w:r>
              <w:rPr>
                <w:rFonts w:hint="eastAsia" w:ascii="宋体" w:hAnsi="宋体" w:eastAsia="宋体" w:cs="宋体"/>
                <w:b/>
                <w:bCs/>
                <w:color w:val="auto"/>
                <w:kern w:val="0"/>
                <w:sz w:val="24"/>
                <w:szCs w:val="24"/>
                <w:highlight w:val="none"/>
                <w:u w:val="single"/>
                <w:lang w:val="en-US" w:eastAsia="zh-CN"/>
              </w:rPr>
              <w:t>11</w:t>
            </w:r>
            <w:r>
              <w:rPr>
                <w:rFonts w:hint="eastAsia" w:ascii="宋体" w:hAnsi="宋体" w:eastAsia="宋体" w:cs="宋体"/>
                <w:b/>
                <w:bCs/>
                <w:color w:val="auto"/>
                <w:kern w:val="0"/>
                <w:sz w:val="24"/>
                <w:szCs w:val="24"/>
                <w:highlight w:val="none"/>
                <w:u w:val="single"/>
              </w:rPr>
              <w:t>月</w:t>
            </w:r>
            <w:r>
              <w:rPr>
                <w:rFonts w:hint="eastAsia" w:ascii="宋体" w:hAnsi="宋体" w:eastAsia="宋体" w:cs="宋体"/>
                <w:b/>
                <w:bCs/>
                <w:color w:val="auto"/>
                <w:kern w:val="0"/>
                <w:sz w:val="24"/>
                <w:szCs w:val="24"/>
                <w:highlight w:val="none"/>
                <w:u w:val="single"/>
                <w:lang w:val="en-US" w:eastAsia="zh-CN"/>
              </w:rPr>
              <w:t>11</w:t>
            </w:r>
            <w:r>
              <w:rPr>
                <w:rFonts w:hint="eastAsia" w:ascii="宋体" w:hAnsi="宋体" w:eastAsia="宋体" w:cs="宋体"/>
                <w:b/>
                <w:bCs/>
                <w:color w:val="auto"/>
                <w:kern w:val="0"/>
                <w:sz w:val="24"/>
                <w:szCs w:val="24"/>
                <w:highlight w:val="none"/>
                <w:u w:val="single"/>
              </w:rPr>
              <w:t>日</w:t>
            </w:r>
            <w:r>
              <w:rPr>
                <w:rFonts w:hint="eastAsia" w:ascii="宋体" w:hAnsi="宋体" w:eastAsia="宋体" w:cs="宋体"/>
                <w:b/>
                <w:bCs/>
                <w:color w:val="auto"/>
                <w:kern w:val="0"/>
                <w:sz w:val="24"/>
                <w:szCs w:val="24"/>
                <w:highlight w:val="none"/>
                <w:u w:val="single"/>
                <w:lang w:val="en-US" w:eastAsia="zh-CN"/>
              </w:rPr>
              <w:t>17:00</w:t>
            </w:r>
          </w:p>
          <w:p w14:paraId="1B06E7CC">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b/>
                <w:kern w:val="0"/>
                <w:sz w:val="21"/>
                <w:szCs w:val="21"/>
                <w:highlight w:val="none"/>
                <w:lang w:val="en-US" w:eastAsia="zh-CN"/>
              </w:rPr>
            </w:pPr>
            <w:r>
              <w:rPr>
                <w:rFonts w:hint="eastAsia" w:ascii="宋体" w:hAnsi="宋体" w:eastAsia="宋体" w:cs="宋体"/>
                <w:color w:val="auto"/>
                <w:kern w:val="0"/>
                <w:sz w:val="24"/>
                <w:szCs w:val="24"/>
                <w:highlight w:val="none"/>
              </w:rPr>
              <w:t>提出问题</w:t>
            </w:r>
            <w:r>
              <w:rPr>
                <w:rFonts w:hint="eastAsia" w:ascii="宋体" w:hAnsi="宋体" w:eastAsia="宋体" w:cs="宋体"/>
                <w:snapToGrid w:val="0"/>
                <w:color w:val="auto"/>
                <w:kern w:val="0"/>
                <w:sz w:val="24"/>
                <w:szCs w:val="24"/>
                <w:highlight w:val="none"/>
              </w:rPr>
              <w:t>方式：</w:t>
            </w:r>
            <w:r>
              <w:rPr>
                <w:rFonts w:hint="eastAsia" w:ascii="宋体" w:hAnsi="宋体" w:eastAsia="宋体" w:cs="宋体"/>
                <w:snapToGrid w:val="0"/>
                <w:color w:val="auto"/>
                <w:kern w:val="0"/>
                <w:sz w:val="24"/>
                <w:szCs w:val="24"/>
                <w:highlight w:val="none"/>
                <w:lang w:eastAsia="zh-CN"/>
              </w:rPr>
              <w:t>投标人</w:t>
            </w:r>
            <w:r>
              <w:rPr>
                <w:rFonts w:hint="eastAsia" w:ascii="宋体" w:hAnsi="宋体" w:eastAsia="宋体" w:cs="宋体"/>
                <w:snapToGrid w:val="0"/>
                <w:color w:val="auto"/>
                <w:kern w:val="0"/>
                <w:sz w:val="24"/>
                <w:szCs w:val="24"/>
                <w:highlight w:val="none"/>
              </w:rPr>
              <w:t>登录城投招采平台https://jczx.hzcjtz.com/home/#/home点击本标段详情中的【提疑】即可进入编辑提疑界面。点击【提疑】按钮可编写提疑信息。注意需在提疑截止时间之前进行提疑。</w:t>
            </w:r>
            <w:r>
              <w:rPr>
                <w:rFonts w:hint="eastAsia" w:ascii="宋体" w:hAnsi="宋体" w:eastAsia="宋体" w:cs="宋体"/>
                <w:b/>
                <w:bCs/>
                <w:color w:val="auto"/>
                <w:kern w:val="0"/>
                <w:sz w:val="24"/>
                <w:szCs w:val="24"/>
                <w:highlight w:val="none"/>
                <w:u w:val="none"/>
              </w:rPr>
              <w:t>联系方式:</w:t>
            </w:r>
            <w:r>
              <w:rPr>
                <w:rFonts w:hint="eastAsia" w:ascii="宋体" w:hAnsi="宋体" w:eastAsia="宋体" w:cs="宋体"/>
                <w:b/>
                <w:bCs/>
                <w:color w:val="auto"/>
                <w:kern w:val="0"/>
                <w:sz w:val="24"/>
                <w:szCs w:val="24"/>
                <w:highlight w:val="none"/>
                <w:u w:val="none"/>
                <w:lang w:val="en-US" w:eastAsia="zh-CN"/>
              </w:rPr>
              <w:t>13735862673，</w:t>
            </w:r>
            <w:r>
              <w:rPr>
                <w:rFonts w:hint="eastAsia" w:ascii="宋体" w:hAnsi="宋体" w:eastAsia="宋体" w:cs="宋体"/>
                <w:b/>
                <w:bCs/>
                <w:color w:val="auto"/>
                <w:kern w:val="0"/>
                <w:sz w:val="24"/>
                <w:szCs w:val="24"/>
                <w:highlight w:val="none"/>
                <w:u w:val="none"/>
              </w:rPr>
              <w:t>联系人:</w:t>
            </w:r>
            <w:r>
              <w:rPr>
                <w:rFonts w:hint="eastAsia" w:ascii="宋体" w:hAnsi="宋体" w:eastAsia="宋体" w:cs="宋体"/>
                <w:b/>
                <w:bCs/>
                <w:color w:val="auto"/>
                <w:kern w:val="0"/>
                <w:sz w:val="24"/>
                <w:szCs w:val="24"/>
                <w:highlight w:val="none"/>
                <w:u w:val="none"/>
                <w:lang w:val="en-US" w:eastAsia="zh-CN"/>
              </w:rPr>
              <w:t xml:space="preserve">周咪咪 </w:t>
            </w:r>
          </w:p>
          <w:p w14:paraId="200A07A3">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注：未按上述要求提出的问题，招标人有权不予答复。</w:t>
            </w:r>
          </w:p>
        </w:tc>
      </w:tr>
      <w:tr w14:paraId="56F4A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3E0CF909">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2.3.2</w:t>
            </w:r>
          </w:p>
        </w:tc>
        <w:tc>
          <w:tcPr>
            <w:tcW w:w="1911" w:type="dxa"/>
            <w:noWrap w:val="0"/>
            <w:vAlign w:val="center"/>
          </w:tcPr>
          <w:p w14:paraId="1A39B65A">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z w:val="24"/>
                <w:szCs w:val="24"/>
                <w:highlight w:val="none"/>
              </w:rPr>
              <w:t>招标文件澄清、修改发出的形式</w:t>
            </w:r>
          </w:p>
        </w:tc>
        <w:tc>
          <w:tcPr>
            <w:tcW w:w="6255" w:type="dxa"/>
            <w:noWrap w:val="0"/>
            <w:vAlign w:val="center"/>
          </w:tcPr>
          <w:p w14:paraId="556237FD">
            <w:pPr>
              <w:keepNext w:val="0"/>
              <w:keepLines w:val="0"/>
              <w:suppressLineNumbers w:val="0"/>
              <w:adjustRightInd w:val="0"/>
              <w:snapToGrid w:val="0"/>
              <w:spacing w:before="0" w:beforeAutospacing="0" w:after="0" w:afterAutospacing="0" w:line="360" w:lineRule="auto"/>
              <w:ind w:left="0" w:right="0"/>
              <w:jc w:val="left"/>
              <w:rPr>
                <w:rFonts w:hint="default" w:ascii="宋体" w:hAnsi="宋体" w:eastAsia="宋体" w:cs="宋体"/>
                <w:b/>
                <w:bCs/>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澄清问题截止时间：</w:t>
            </w:r>
            <w:r>
              <w:rPr>
                <w:rFonts w:hint="eastAsia" w:ascii="宋体" w:hAnsi="宋体" w:eastAsia="宋体" w:cs="宋体"/>
                <w:color w:val="auto"/>
                <w:kern w:val="0"/>
                <w:sz w:val="24"/>
                <w:szCs w:val="24"/>
                <w:highlight w:val="none"/>
                <w:u w:val="single"/>
                <w:lang w:val="en-US" w:eastAsia="zh-CN"/>
              </w:rPr>
              <w:t>2024</w:t>
            </w:r>
            <w:r>
              <w:rPr>
                <w:rFonts w:hint="eastAsia" w:ascii="宋体" w:hAnsi="宋体" w:eastAsia="宋体" w:cs="宋体"/>
                <w:b/>
                <w:bCs/>
                <w:color w:val="auto"/>
                <w:kern w:val="0"/>
                <w:sz w:val="24"/>
                <w:szCs w:val="24"/>
                <w:highlight w:val="none"/>
                <w:u w:val="single"/>
              </w:rPr>
              <w:t>年</w:t>
            </w:r>
            <w:r>
              <w:rPr>
                <w:rFonts w:hint="eastAsia" w:ascii="宋体" w:hAnsi="宋体" w:eastAsia="宋体" w:cs="宋体"/>
                <w:b/>
                <w:bCs/>
                <w:color w:val="auto"/>
                <w:kern w:val="0"/>
                <w:sz w:val="24"/>
                <w:szCs w:val="24"/>
                <w:highlight w:val="none"/>
                <w:u w:val="single"/>
                <w:lang w:val="en-US" w:eastAsia="zh-CN"/>
              </w:rPr>
              <w:t>11</w:t>
            </w:r>
            <w:r>
              <w:rPr>
                <w:rFonts w:hint="eastAsia" w:ascii="宋体" w:hAnsi="宋体" w:eastAsia="宋体" w:cs="宋体"/>
                <w:b/>
                <w:bCs/>
                <w:color w:val="auto"/>
                <w:kern w:val="0"/>
                <w:sz w:val="24"/>
                <w:szCs w:val="24"/>
                <w:highlight w:val="none"/>
                <w:u w:val="single"/>
              </w:rPr>
              <w:t>月</w:t>
            </w:r>
            <w:r>
              <w:rPr>
                <w:rFonts w:hint="eastAsia" w:ascii="宋体" w:hAnsi="宋体" w:eastAsia="宋体" w:cs="宋体"/>
                <w:b/>
                <w:bCs/>
                <w:color w:val="auto"/>
                <w:kern w:val="0"/>
                <w:sz w:val="24"/>
                <w:szCs w:val="24"/>
                <w:highlight w:val="none"/>
                <w:u w:val="single"/>
                <w:lang w:val="en-US" w:eastAsia="zh-CN"/>
              </w:rPr>
              <w:t>15</w:t>
            </w:r>
            <w:r>
              <w:rPr>
                <w:rFonts w:hint="eastAsia" w:ascii="宋体" w:hAnsi="宋体" w:eastAsia="宋体" w:cs="宋体"/>
                <w:b/>
                <w:bCs/>
                <w:color w:val="auto"/>
                <w:kern w:val="0"/>
                <w:sz w:val="24"/>
                <w:szCs w:val="24"/>
                <w:highlight w:val="none"/>
                <w:u w:val="single"/>
              </w:rPr>
              <w:t>日</w:t>
            </w:r>
            <w:r>
              <w:rPr>
                <w:rFonts w:hint="eastAsia" w:ascii="宋体" w:hAnsi="宋体" w:eastAsia="宋体" w:cs="宋体"/>
                <w:b/>
                <w:bCs/>
                <w:color w:val="auto"/>
                <w:kern w:val="0"/>
                <w:sz w:val="24"/>
                <w:szCs w:val="24"/>
                <w:highlight w:val="none"/>
                <w:u w:val="single"/>
                <w:lang w:val="en-US" w:eastAsia="zh-CN"/>
              </w:rPr>
              <w:t>17:00</w:t>
            </w:r>
          </w:p>
          <w:p w14:paraId="54F9A155">
            <w:pPr>
              <w:keepNext w:val="0"/>
              <w:keepLines w:val="0"/>
              <w:suppressLineNumbers w:val="0"/>
              <w:autoSpaceDE/>
              <w:autoSpaceDN/>
              <w:adjustRightInd/>
              <w:snapToGrid/>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w:t>
            </w:r>
            <w:r>
              <w:rPr>
                <w:rFonts w:hint="eastAsia" w:ascii="宋体" w:hAnsi="宋体" w:eastAsia="宋体" w:cs="宋体"/>
                <w:color w:val="auto"/>
                <w:kern w:val="0"/>
                <w:sz w:val="24"/>
                <w:szCs w:val="24"/>
                <w:highlight w:val="none"/>
                <w:lang w:val="zh-CN"/>
              </w:rPr>
              <w:t>本项目招标公告发布页面</w:t>
            </w:r>
            <w:r>
              <w:rPr>
                <w:rFonts w:hint="eastAsia" w:ascii="宋体" w:hAnsi="宋体" w:eastAsia="宋体" w:cs="宋体"/>
                <w:color w:val="auto"/>
                <w:kern w:val="0"/>
                <w:sz w:val="24"/>
                <w:szCs w:val="24"/>
                <w:highlight w:val="none"/>
              </w:rPr>
              <w:t>公布（</w:t>
            </w:r>
            <w:r>
              <w:rPr>
                <w:rFonts w:hint="eastAsia" w:ascii="宋体" w:hAnsi="宋体" w:eastAsia="宋体" w:cs="宋体"/>
                <w:color w:val="auto"/>
                <w:kern w:val="0"/>
                <w:sz w:val="24"/>
                <w:szCs w:val="24"/>
                <w:highlight w:val="none"/>
                <w:lang w:val="zh-CN"/>
              </w:rPr>
              <w:t>详见招标公告）</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投标人可自行下载</w:t>
            </w:r>
            <w:r>
              <w:rPr>
                <w:rFonts w:hint="eastAsia" w:ascii="宋体" w:hAnsi="宋体" w:eastAsia="宋体" w:cs="宋体"/>
                <w:color w:val="auto"/>
                <w:kern w:val="0"/>
                <w:sz w:val="24"/>
                <w:szCs w:val="24"/>
                <w:highlight w:val="none"/>
              </w:rPr>
              <w:t>获取澄清或修改文件，或以电子邮件的形式发送于各投标人</w:t>
            </w:r>
          </w:p>
          <w:p w14:paraId="717C40CD">
            <w:pPr>
              <w:keepNext w:val="0"/>
              <w:keepLines w:val="0"/>
              <w:suppressLineNumbers w:val="0"/>
              <w:autoSpaceDE/>
              <w:autoSpaceDN/>
              <w:adjustRightInd/>
              <w:snapToGrid/>
              <w:spacing w:before="0" w:beforeAutospacing="0" w:after="0" w:afterAutospacing="0" w:line="360" w:lineRule="auto"/>
              <w:ind w:left="0" w:right="0"/>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注：投标截止时间前，请投标人务必关注补充公告。</w:t>
            </w:r>
          </w:p>
        </w:tc>
      </w:tr>
      <w:tr w14:paraId="564BE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noWrap w:val="0"/>
            <w:vAlign w:val="center"/>
          </w:tcPr>
          <w:p w14:paraId="7EA67B9F">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3.1</w:t>
            </w:r>
          </w:p>
        </w:tc>
        <w:tc>
          <w:tcPr>
            <w:tcW w:w="1911" w:type="dxa"/>
            <w:noWrap w:val="0"/>
            <w:vAlign w:val="center"/>
          </w:tcPr>
          <w:p w14:paraId="39663EAD">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投标文件组成</w:t>
            </w:r>
          </w:p>
        </w:tc>
        <w:tc>
          <w:tcPr>
            <w:tcW w:w="6255" w:type="dxa"/>
            <w:noWrap w:val="0"/>
            <w:vAlign w:val="center"/>
          </w:tcPr>
          <w:p w14:paraId="131957BA">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投标文件由资格</w:t>
            </w:r>
            <w:r>
              <w:rPr>
                <w:rFonts w:hint="eastAsia" w:ascii="宋体" w:hAnsi="宋体" w:eastAsia="宋体" w:cs="宋体"/>
                <w:snapToGrid w:val="0"/>
                <w:color w:val="auto"/>
                <w:kern w:val="0"/>
                <w:sz w:val="24"/>
                <w:szCs w:val="24"/>
                <w:highlight w:val="none"/>
                <w:lang w:val="en-US" w:eastAsia="zh-CN"/>
              </w:rPr>
              <w:t>文件</w:t>
            </w:r>
            <w:r>
              <w:rPr>
                <w:rFonts w:hint="eastAsia" w:ascii="宋体" w:hAnsi="宋体" w:eastAsia="宋体" w:cs="宋体"/>
                <w:snapToGrid w:val="0"/>
                <w:color w:val="auto"/>
                <w:kern w:val="0"/>
                <w:sz w:val="24"/>
                <w:szCs w:val="24"/>
                <w:highlight w:val="none"/>
              </w:rPr>
              <w:t>、商务</w:t>
            </w:r>
            <w:r>
              <w:rPr>
                <w:rFonts w:hint="eastAsia" w:ascii="宋体" w:hAnsi="宋体" w:eastAsia="宋体" w:cs="宋体"/>
                <w:snapToGrid w:val="0"/>
                <w:color w:val="auto"/>
                <w:kern w:val="0"/>
                <w:sz w:val="24"/>
                <w:szCs w:val="24"/>
                <w:highlight w:val="none"/>
                <w:lang w:val="en-US" w:eastAsia="zh-CN"/>
              </w:rPr>
              <w:t>文件、</w:t>
            </w:r>
            <w:r>
              <w:rPr>
                <w:rFonts w:hint="eastAsia" w:ascii="宋体" w:hAnsi="宋体" w:eastAsia="宋体" w:cs="宋体"/>
                <w:snapToGrid w:val="0"/>
                <w:color w:val="auto"/>
                <w:kern w:val="0"/>
                <w:sz w:val="24"/>
                <w:szCs w:val="24"/>
                <w:highlight w:val="none"/>
              </w:rPr>
              <w:t>资信</w:t>
            </w:r>
            <w:r>
              <w:rPr>
                <w:rFonts w:hint="eastAsia" w:ascii="宋体" w:hAnsi="宋体" w:eastAsia="宋体" w:cs="宋体"/>
                <w:snapToGrid w:val="0"/>
                <w:color w:val="auto"/>
                <w:kern w:val="0"/>
                <w:sz w:val="24"/>
                <w:szCs w:val="24"/>
                <w:highlight w:val="none"/>
                <w:lang w:val="en-US" w:eastAsia="zh-CN"/>
              </w:rPr>
              <w:t>文件、技术文件四</w:t>
            </w:r>
            <w:r>
              <w:rPr>
                <w:rFonts w:hint="eastAsia" w:ascii="宋体" w:hAnsi="宋体" w:eastAsia="宋体" w:cs="宋体"/>
                <w:snapToGrid w:val="0"/>
                <w:color w:val="auto"/>
                <w:kern w:val="0"/>
                <w:sz w:val="24"/>
                <w:szCs w:val="24"/>
                <w:highlight w:val="none"/>
              </w:rPr>
              <w:t>部分组成</w:t>
            </w:r>
            <w:r>
              <w:rPr>
                <w:rFonts w:hint="eastAsia" w:ascii="宋体" w:hAnsi="宋体" w:eastAsia="宋体" w:cs="宋体"/>
                <w:snapToGrid w:val="0"/>
                <w:color w:val="auto"/>
                <w:kern w:val="0"/>
                <w:sz w:val="24"/>
                <w:szCs w:val="24"/>
                <w:highlight w:val="none"/>
                <w:lang w:eastAsia="zh-CN"/>
              </w:rPr>
              <w:t>。</w:t>
            </w:r>
          </w:p>
          <w:p w14:paraId="284551B1">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资格</w:t>
            </w:r>
            <w:r>
              <w:rPr>
                <w:rFonts w:hint="eastAsia" w:ascii="宋体" w:hAnsi="宋体" w:eastAsia="宋体" w:cs="宋体"/>
                <w:snapToGrid w:val="0"/>
                <w:color w:val="auto"/>
                <w:kern w:val="0"/>
                <w:sz w:val="24"/>
                <w:szCs w:val="24"/>
                <w:highlight w:val="none"/>
                <w:lang w:val="en-US" w:eastAsia="zh-CN"/>
              </w:rPr>
              <w:t>文件</w:t>
            </w:r>
          </w:p>
          <w:p w14:paraId="318B1B41">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（1）有效营业执照或事业单位法人证书、</w:t>
            </w:r>
            <w:r>
              <w:rPr>
                <w:rFonts w:hint="eastAsia" w:ascii="宋体" w:hAnsi="宋体" w:eastAsia="宋体" w:cs="宋体"/>
                <w:snapToGrid w:val="0"/>
                <w:color w:val="auto"/>
                <w:kern w:val="0"/>
                <w:sz w:val="24"/>
                <w:szCs w:val="24"/>
                <w:highlight w:val="none"/>
                <w:lang w:val="en-US" w:eastAsia="zh-CN"/>
              </w:rPr>
              <w:t>社会团体法人登记证书或其他组织登记证明文件、</w:t>
            </w:r>
            <w:r>
              <w:rPr>
                <w:rFonts w:hint="eastAsia" w:ascii="宋体" w:hAnsi="宋体" w:eastAsia="宋体" w:cs="宋体"/>
                <w:snapToGrid w:val="0"/>
                <w:color w:val="auto"/>
                <w:kern w:val="0"/>
                <w:sz w:val="24"/>
                <w:szCs w:val="24"/>
                <w:highlight w:val="none"/>
              </w:rPr>
              <w:t>税务登记证和委托书（或介绍信）（如已办理三证合一的投标人，提供三证合一后的“营业执照”（副本）复印件即可）</w:t>
            </w:r>
            <w:r>
              <w:rPr>
                <w:rFonts w:hint="eastAsia" w:ascii="宋体" w:hAnsi="宋体" w:eastAsia="宋体" w:cs="宋体"/>
                <w:snapToGrid w:val="0"/>
                <w:color w:val="auto"/>
                <w:kern w:val="0"/>
                <w:sz w:val="24"/>
                <w:szCs w:val="24"/>
                <w:highlight w:val="none"/>
                <w:lang w:eastAsia="zh-CN"/>
              </w:rPr>
              <w:t>；</w:t>
            </w:r>
          </w:p>
          <w:p w14:paraId="3DB5D4C6">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（2）投标保证金缴存证明</w:t>
            </w:r>
            <w:r>
              <w:rPr>
                <w:rFonts w:hint="eastAsia" w:ascii="宋体" w:hAnsi="宋体" w:eastAsia="宋体" w:cs="宋体"/>
                <w:snapToGrid w:val="0"/>
                <w:color w:val="auto"/>
                <w:kern w:val="0"/>
                <w:sz w:val="24"/>
                <w:szCs w:val="24"/>
                <w:highlight w:val="none"/>
                <w:lang w:eastAsia="zh-CN"/>
              </w:rPr>
              <w:t>；</w:t>
            </w:r>
          </w:p>
          <w:p w14:paraId="45E3AEF0">
            <w:pPr>
              <w:keepNext w:val="0"/>
              <w:keepLines w:val="0"/>
              <w:suppressLineNumbers w:val="0"/>
              <w:wordWrap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提供“信用中国”（www.creditchina.gov.cn）记录查询网页截图、中国政府采购网（www.ccgp.gov.cn）记录查询网页截图，“国家企业信用信息公示系统”（https://www.gsxt.gov.cn/index.html）股权结构查询网页截图；</w:t>
            </w:r>
          </w:p>
          <w:p w14:paraId="59B308B6">
            <w:pPr>
              <w:keepNext w:val="0"/>
              <w:keepLines w:val="0"/>
              <w:suppressLineNumbers w:val="0"/>
              <w:wordWrap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color w:val="auto"/>
                <w:sz w:val="24"/>
                <w:szCs w:val="24"/>
                <w:highlight w:val="none"/>
                <w:lang w:val="en-US" w:eastAsia="zh-CN"/>
              </w:rPr>
              <w:t>投标人若为生产厂家须具备以下有效证书或证明：有效期内《安全生产许可证》；投标人若为经销商须具备以下有效证书或证明：①有效期内《危险化学品经营许可证》、②投标产品生产厂家出具的授权证明并同时提供该生产厂家的有效期内《安全生产许可证》；（以上资料需加盖公章）；</w:t>
            </w:r>
          </w:p>
          <w:p w14:paraId="3A52329D">
            <w:pPr>
              <w:keepNext w:val="0"/>
              <w:keepLines w:val="0"/>
              <w:suppressLineNumbers w:val="0"/>
              <w:wordWrap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2.商务报价部分</w:t>
            </w:r>
          </w:p>
          <w:p w14:paraId="29680C38">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（1）投标函</w:t>
            </w:r>
            <w:r>
              <w:rPr>
                <w:rFonts w:hint="eastAsia" w:ascii="宋体" w:hAnsi="宋体" w:eastAsia="宋体" w:cs="宋体"/>
                <w:snapToGrid w:val="0"/>
                <w:color w:val="auto"/>
                <w:kern w:val="0"/>
                <w:sz w:val="24"/>
                <w:szCs w:val="24"/>
                <w:highlight w:val="none"/>
                <w:lang w:eastAsia="zh-CN"/>
              </w:rPr>
              <w:t>；</w:t>
            </w:r>
          </w:p>
          <w:p w14:paraId="2B4F5268">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投标报价明细表；</w:t>
            </w:r>
          </w:p>
          <w:p w14:paraId="675656CF">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（3）法定代表人资格证明书</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法定代表人授权委托书(单独提供，同时装订在商务报价文件中)</w:t>
            </w:r>
            <w:r>
              <w:rPr>
                <w:rFonts w:hint="eastAsia" w:ascii="宋体" w:hAnsi="宋体" w:eastAsia="宋体" w:cs="宋体"/>
                <w:snapToGrid w:val="0"/>
                <w:color w:val="auto"/>
                <w:kern w:val="0"/>
                <w:sz w:val="24"/>
                <w:szCs w:val="24"/>
                <w:highlight w:val="none"/>
                <w:lang w:eastAsia="zh-CN"/>
              </w:rPr>
              <w:t>；</w:t>
            </w:r>
          </w:p>
          <w:p w14:paraId="79639AED">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）商务偏离表；</w:t>
            </w:r>
          </w:p>
          <w:p w14:paraId="325284A6">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lang w:eastAsia="zh-CN"/>
              </w:rPr>
              <w:t>）商务优惠条件及特殊承诺。</w:t>
            </w:r>
          </w:p>
          <w:p w14:paraId="7B591763">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3.资信文件部分</w:t>
            </w:r>
          </w:p>
          <w:p w14:paraId="7BCABF32">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val="en-US" w:eastAsia="zh-CN"/>
              </w:rPr>
              <w:t>基本</w:t>
            </w:r>
            <w:r>
              <w:rPr>
                <w:rFonts w:hint="eastAsia" w:ascii="宋体" w:hAnsi="宋体" w:eastAsia="宋体" w:cs="宋体"/>
                <w:snapToGrid w:val="0"/>
                <w:color w:val="auto"/>
                <w:kern w:val="0"/>
                <w:sz w:val="24"/>
                <w:szCs w:val="24"/>
                <w:highlight w:val="none"/>
              </w:rPr>
              <w:t>情况表；</w:t>
            </w:r>
          </w:p>
          <w:p w14:paraId="4F062DDF">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val="en-US" w:eastAsia="zh-CN"/>
              </w:rPr>
              <w:t>业绩</w:t>
            </w:r>
            <w:r>
              <w:rPr>
                <w:rFonts w:hint="eastAsia" w:ascii="宋体" w:hAnsi="宋体" w:eastAsia="宋体" w:cs="宋体"/>
                <w:snapToGrid w:val="0"/>
                <w:color w:val="auto"/>
                <w:kern w:val="0"/>
                <w:sz w:val="24"/>
                <w:szCs w:val="24"/>
                <w:highlight w:val="none"/>
              </w:rPr>
              <w:t>情况表</w:t>
            </w:r>
            <w:r>
              <w:rPr>
                <w:rFonts w:hint="eastAsia" w:ascii="宋体" w:hAnsi="宋体" w:eastAsia="宋体" w:cs="宋体"/>
                <w:snapToGrid w:val="0"/>
                <w:color w:val="auto"/>
                <w:kern w:val="0"/>
                <w:sz w:val="24"/>
                <w:szCs w:val="24"/>
                <w:highlight w:val="none"/>
                <w:lang w:eastAsia="zh-CN"/>
              </w:rPr>
              <w:t>；</w:t>
            </w:r>
          </w:p>
          <w:p w14:paraId="24845BC0">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）诚信廉洁承诺函</w:t>
            </w:r>
            <w:r>
              <w:rPr>
                <w:rFonts w:hint="eastAsia" w:ascii="宋体" w:hAnsi="宋体" w:eastAsia="宋体" w:cs="宋体"/>
                <w:snapToGrid w:val="0"/>
                <w:color w:val="auto"/>
                <w:kern w:val="0"/>
                <w:sz w:val="24"/>
                <w:szCs w:val="24"/>
                <w:highlight w:val="none"/>
                <w:lang w:eastAsia="zh-CN"/>
              </w:rPr>
              <w:t>；</w:t>
            </w:r>
          </w:p>
          <w:p w14:paraId="76509F5E">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投标人认为有必要的其他内容等。</w:t>
            </w:r>
          </w:p>
          <w:p w14:paraId="6E0C2D91">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技术部分</w:t>
            </w:r>
          </w:p>
          <w:p w14:paraId="65AFE377">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（1）技术与服务解决方案</w:t>
            </w:r>
            <w:r>
              <w:rPr>
                <w:rFonts w:hint="eastAsia" w:ascii="宋体" w:hAnsi="宋体" w:eastAsia="宋体" w:cs="宋体"/>
                <w:snapToGrid w:val="0"/>
                <w:color w:val="auto"/>
                <w:kern w:val="0"/>
                <w:sz w:val="24"/>
                <w:szCs w:val="24"/>
                <w:highlight w:val="none"/>
                <w:lang w:eastAsia="zh-CN"/>
              </w:rPr>
              <w:t>：</w:t>
            </w:r>
          </w:p>
          <w:p w14:paraId="69DE2595">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技术</w:t>
            </w:r>
            <w:r>
              <w:rPr>
                <w:rFonts w:hint="eastAsia" w:ascii="宋体" w:hAnsi="宋体" w:eastAsia="宋体" w:cs="宋体"/>
                <w:snapToGrid w:val="0"/>
                <w:color w:val="auto"/>
                <w:kern w:val="0"/>
                <w:sz w:val="24"/>
                <w:szCs w:val="24"/>
                <w:highlight w:val="none"/>
                <w:lang w:val="zh-CN"/>
              </w:rPr>
              <w:t>优惠条件及特殊承诺</w:t>
            </w:r>
            <w:r>
              <w:rPr>
                <w:rFonts w:hint="eastAsia" w:ascii="宋体" w:hAnsi="宋体" w:eastAsia="宋体" w:cs="宋体"/>
                <w:snapToGrid w:val="0"/>
                <w:color w:val="auto"/>
                <w:kern w:val="0"/>
                <w:sz w:val="24"/>
                <w:szCs w:val="24"/>
                <w:highlight w:val="none"/>
              </w:rPr>
              <w:t>；</w:t>
            </w:r>
          </w:p>
          <w:p w14:paraId="035B80D8">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（3）技术偏离表；</w:t>
            </w:r>
          </w:p>
          <w:p w14:paraId="7CA4707C">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）投标人认为需要的提供的其他文件和说明</w:t>
            </w:r>
            <w:r>
              <w:rPr>
                <w:rFonts w:hint="eastAsia" w:ascii="宋体" w:hAnsi="宋体" w:eastAsia="宋体" w:cs="宋体"/>
                <w:snapToGrid w:val="0"/>
                <w:color w:val="auto"/>
                <w:kern w:val="0"/>
                <w:sz w:val="24"/>
                <w:szCs w:val="24"/>
                <w:highlight w:val="none"/>
                <w:lang w:eastAsia="zh-CN"/>
              </w:rPr>
              <w:t>。</w:t>
            </w:r>
          </w:p>
          <w:p w14:paraId="612DB0C2">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备注：以上证明材料提供复制件加盖公章。</w:t>
            </w:r>
          </w:p>
        </w:tc>
      </w:tr>
      <w:tr w14:paraId="3AF72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6EC358F6">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3.4.2</w:t>
            </w:r>
          </w:p>
        </w:tc>
        <w:tc>
          <w:tcPr>
            <w:tcW w:w="1911" w:type="dxa"/>
            <w:noWrap w:val="0"/>
            <w:vAlign w:val="center"/>
          </w:tcPr>
          <w:p w14:paraId="50914F8A">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z w:val="24"/>
                <w:szCs w:val="24"/>
                <w:highlight w:val="none"/>
              </w:rPr>
              <w:t>投标文件份数及其他要求</w:t>
            </w:r>
          </w:p>
        </w:tc>
        <w:tc>
          <w:tcPr>
            <w:tcW w:w="6255" w:type="dxa"/>
            <w:noWrap w:val="0"/>
            <w:vAlign w:val="center"/>
          </w:tcPr>
          <w:p w14:paraId="3AF7B13F">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投标文件份数：1正</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lang w:eastAsia="zh-CN"/>
              </w:rPr>
              <w:t>副</w:t>
            </w:r>
          </w:p>
          <w:p w14:paraId="466BE183">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提交电子版文件：</w:t>
            </w:r>
          </w:p>
          <w:p w14:paraId="2296EAE1">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是，提交电子版带红章的PDF文件及word版本各1份（形式</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u w:val="single"/>
                <w:lang w:val="en-US" w:eastAsia="zh-CN"/>
              </w:rPr>
              <w:t>以电子介质形式（光盘或U盘）与纸质投标文件一并密封递交</w:t>
            </w:r>
            <w:r>
              <w:rPr>
                <w:rFonts w:hint="eastAsia" w:ascii="宋体" w:hAnsi="宋体" w:eastAsia="宋体" w:cs="宋体"/>
                <w:color w:val="auto"/>
                <w:sz w:val="24"/>
                <w:szCs w:val="24"/>
                <w:highlight w:val="none"/>
              </w:rPr>
              <w:t>）（与投标文件一起密封）。</w:t>
            </w:r>
          </w:p>
        </w:tc>
      </w:tr>
      <w:tr w14:paraId="55282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002" w:type="dxa"/>
            <w:noWrap w:val="0"/>
            <w:vAlign w:val="center"/>
          </w:tcPr>
          <w:p w14:paraId="61C26CC4">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3.4.3</w:t>
            </w:r>
          </w:p>
        </w:tc>
        <w:tc>
          <w:tcPr>
            <w:tcW w:w="1911" w:type="dxa"/>
            <w:noWrap w:val="0"/>
            <w:vAlign w:val="center"/>
          </w:tcPr>
          <w:p w14:paraId="321575D3">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装订要求</w:t>
            </w:r>
          </w:p>
        </w:tc>
        <w:tc>
          <w:tcPr>
            <w:tcW w:w="6255" w:type="dxa"/>
            <w:noWrap w:val="0"/>
            <w:vAlign w:val="center"/>
          </w:tcPr>
          <w:p w14:paraId="0E239969">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是否分册装订：</w:t>
            </w:r>
          </w:p>
          <w:p w14:paraId="26A767CD">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u w:val="single"/>
                <w:lang w:eastAsia="zh-CN"/>
              </w:rPr>
            </w:pPr>
            <w:r>
              <w:rPr>
                <w:rFonts w:hint="eastAsia" w:ascii="宋体" w:hAnsi="宋体" w:eastAsia="宋体" w:cs="宋体"/>
                <w:snapToGrid w:val="0"/>
                <w:color w:val="auto"/>
                <w:sz w:val="24"/>
                <w:szCs w:val="24"/>
                <w:highlight w:val="none"/>
                <w:lang w:eastAsia="zh-CN"/>
              </w:rPr>
              <w:t>☑分册或不分册装订皆可；</w:t>
            </w:r>
          </w:p>
          <w:p w14:paraId="0EF2A069">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装订要求：A4幅面，卡纸作封面。每册采用胶装方式装订，装订应牢固、不易拆散和换页，不得采用活页装订。</w:t>
            </w:r>
          </w:p>
          <w:p w14:paraId="33883C0E">
            <w:pPr>
              <w:pStyle w:val="45"/>
              <w:keepNext w:val="0"/>
              <w:keepLines w:val="0"/>
              <w:suppressLineNumbers w:val="0"/>
              <w:snapToGrid w:val="0"/>
              <w:spacing w:before="0" w:beforeAutospacing="0" w:after="0" w:afterAutospacing="0" w:line="400" w:lineRule="exact"/>
              <w:ind w:left="0" w:right="64" w:rightChars="20"/>
              <w:jc w:val="both"/>
              <w:rPr>
                <w:rFonts w:hint="eastAsia" w:ascii="宋体" w:hAnsi="宋体" w:eastAsia="宋体" w:cs="宋体"/>
                <w:snapToGrid w:val="0"/>
                <w:color w:val="auto"/>
                <w:sz w:val="24"/>
                <w:szCs w:val="24"/>
                <w:highlight w:val="none"/>
                <w:u w:val="single"/>
                <w:lang w:eastAsia="zh-CN"/>
              </w:rPr>
            </w:pPr>
            <w:r>
              <w:rPr>
                <w:rFonts w:hint="eastAsia" w:ascii="宋体" w:hAnsi="宋体" w:eastAsia="宋体" w:cs="宋体"/>
                <w:b/>
                <w:snapToGrid w:val="0"/>
                <w:color w:val="auto"/>
                <w:kern w:val="2"/>
                <w:sz w:val="24"/>
                <w:szCs w:val="24"/>
                <w:highlight w:val="none"/>
                <w:lang w:eastAsia="zh-CN"/>
              </w:rPr>
              <w:t>注：不采用胶装的投标文件将视作未按招标文件规定的格式编制。</w:t>
            </w:r>
          </w:p>
        </w:tc>
      </w:tr>
      <w:tr w14:paraId="7E1683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noWrap w:val="0"/>
            <w:vAlign w:val="center"/>
          </w:tcPr>
          <w:p w14:paraId="71BDB71C">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3.4.4</w:t>
            </w:r>
          </w:p>
          <w:p w14:paraId="4D2E2D78">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p>
        </w:tc>
        <w:tc>
          <w:tcPr>
            <w:tcW w:w="1911" w:type="dxa"/>
            <w:noWrap w:val="0"/>
            <w:vAlign w:val="center"/>
          </w:tcPr>
          <w:p w14:paraId="459F1BE9">
            <w:pPr>
              <w:pStyle w:val="45"/>
              <w:keepNext w:val="0"/>
              <w:keepLines w:val="0"/>
              <w:suppressLineNumbers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z w:val="24"/>
                <w:szCs w:val="24"/>
                <w:highlight w:val="none"/>
                <w:lang w:eastAsia="zh-CN"/>
              </w:rPr>
              <w:t>投标文件签署、盖章要求</w:t>
            </w:r>
          </w:p>
        </w:tc>
        <w:tc>
          <w:tcPr>
            <w:tcW w:w="6255" w:type="dxa"/>
            <w:noWrap w:val="0"/>
            <w:vAlign w:val="center"/>
          </w:tcPr>
          <w:p w14:paraId="410CC452">
            <w:pPr>
              <w:pStyle w:val="45"/>
              <w:keepNext w:val="0"/>
              <w:keepLines w:val="0"/>
              <w:suppressLineNumbers w:val="0"/>
              <w:spacing w:before="0" w:beforeAutospacing="0" w:after="0" w:afterAutospacing="0" w:line="400" w:lineRule="exact"/>
              <w:ind w:left="0" w:right="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z w:val="24"/>
                <w:szCs w:val="24"/>
                <w:highlight w:val="none"/>
                <w:lang w:eastAsia="zh-CN"/>
              </w:rPr>
              <w:t>对投标文件签署、盖章的要求详见投标人须知3.4.4。</w:t>
            </w:r>
          </w:p>
        </w:tc>
      </w:tr>
      <w:tr w14:paraId="6CFFC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1BFA2A4F">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4.1.1</w:t>
            </w:r>
          </w:p>
        </w:tc>
        <w:tc>
          <w:tcPr>
            <w:tcW w:w="1911" w:type="dxa"/>
            <w:noWrap w:val="0"/>
            <w:vAlign w:val="center"/>
          </w:tcPr>
          <w:p w14:paraId="5650EEB7">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踏勘现场</w:t>
            </w:r>
          </w:p>
        </w:tc>
        <w:tc>
          <w:tcPr>
            <w:tcW w:w="6255" w:type="dxa"/>
            <w:noWrap w:val="0"/>
            <w:vAlign w:val="center"/>
          </w:tcPr>
          <w:p w14:paraId="3C1DC1B7">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rPr>
              <w:t>不组织</w:t>
            </w:r>
            <w:r>
              <w:rPr>
                <w:rFonts w:hint="eastAsia" w:ascii="宋体" w:hAnsi="宋体" w:eastAsia="宋体" w:cs="宋体"/>
                <w:snapToGrid w:val="0"/>
                <w:color w:val="auto"/>
                <w:kern w:val="0"/>
                <w:sz w:val="24"/>
                <w:szCs w:val="24"/>
                <w:highlight w:val="none"/>
              </w:rPr>
              <w:t>。</w:t>
            </w:r>
          </w:p>
        </w:tc>
      </w:tr>
      <w:tr w14:paraId="0B880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55839E12">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4.2.1</w:t>
            </w:r>
          </w:p>
        </w:tc>
        <w:tc>
          <w:tcPr>
            <w:tcW w:w="1911" w:type="dxa"/>
            <w:noWrap w:val="0"/>
            <w:vAlign w:val="center"/>
          </w:tcPr>
          <w:p w14:paraId="5DF52A6E">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投标预备会</w:t>
            </w:r>
          </w:p>
        </w:tc>
        <w:tc>
          <w:tcPr>
            <w:tcW w:w="6255" w:type="dxa"/>
            <w:noWrap w:val="0"/>
            <w:vAlign w:val="center"/>
          </w:tcPr>
          <w:p w14:paraId="07B27E30">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本项目是否召开投标预备会：</w:t>
            </w:r>
          </w:p>
          <w:p w14:paraId="5F4F38D9">
            <w:pPr>
              <w:keepNext w:val="0"/>
              <w:keepLines w:val="0"/>
              <w:widowControl/>
              <w:suppressLineNumbers w:val="0"/>
              <w:spacing w:before="0" w:beforeAutospacing="0" w:after="0" w:afterAutospacing="0" w:line="400" w:lineRule="exact"/>
              <w:ind w:right="0"/>
              <w:jc w:val="left"/>
              <w:rPr>
                <w:rFonts w:hint="eastAsia" w:ascii="宋体" w:hAnsi="宋体" w:eastAsia="宋体" w:cs="宋体"/>
                <w:snapToGrid w:val="0"/>
                <w:color w:val="auto"/>
                <w:kern w:val="0"/>
                <w:sz w:val="24"/>
                <w:szCs w:val="24"/>
                <w:highlight w:val="none"/>
                <w:u w:val="single"/>
              </w:rPr>
            </w:pPr>
            <w:r>
              <w:rPr>
                <w:rFonts w:hint="eastAsia" w:ascii="宋体" w:hAnsi="宋体" w:eastAsia="宋体" w:cs="宋体"/>
                <w:color w:val="auto"/>
                <w:kern w:val="0"/>
                <w:sz w:val="24"/>
                <w:szCs w:val="24"/>
                <w:highlight w:val="none"/>
                <w:lang w:bidi="ar"/>
              </w:rPr>
              <w:sym w:font="Wingdings" w:char="00FE"/>
            </w:r>
            <w:r>
              <w:rPr>
                <w:rFonts w:hint="eastAsia" w:ascii="宋体" w:hAnsi="宋体" w:eastAsia="宋体" w:cs="宋体"/>
                <w:color w:val="auto"/>
                <w:kern w:val="0"/>
                <w:sz w:val="24"/>
                <w:szCs w:val="24"/>
                <w:highlight w:val="none"/>
                <w:lang w:bidi="ar"/>
              </w:rPr>
              <w:t>不召开</w:t>
            </w:r>
          </w:p>
        </w:tc>
      </w:tr>
      <w:tr w14:paraId="35EF9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1A6747E8">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4.3.1</w:t>
            </w:r>
          </w:p>
          <w:p w14:paraId="23902B73">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4.3.2</w:t>
            </w:r>
          </w:p>
        </w:tc>
        <w:tc>
          <w:tcPr>
            <w:tcW w:w="1911" w:type="dxa"/>
            <w:noWrap w:val="0"/>
            <w:vAlign w:val="center"/>
          </w:tcPr>
          <w:p w14:paraId="74F8C9CC">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w:t>
            </w:r>
          </w:p>
        </w:tc>
        <w:tc>
          <w:tcPr>
            <w:tcW w:w="6255" w:type="dxa"/>
            <w:noWrap w:val="0"/>
            <w:vAlign w:val="center"/>
          </w:tcPr>
          <w:p w14:paraId="742DC8F6">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bidi="ar"/>
              </w:rPr>
            </w:pPr>
            <w:r>
              <w:rPr>
                <w:rFonts w:hint="eastAsia" w:ascii="宋体" w:hAnsi="宋体" w:eastAsia="宋体" w:cs="宋体"/>
                <w:b/>
                <w:snapToGrid w:val="0"/>
                <w:color w:val="auto"/>
                <w:kern w:val="0"/>
                <w:sz w:val="24"/>
                <w:szCs w:val="24"/>
                <w:highlight w:val="none"/>
              </w:rPr>
              <w:t>本项目</w:t>
            </w:r>
            <w:r>
              <w:rPr>
                <w:rFonts w:hint="eastAsia" w:ascii="宋体" w:hAnsi="宋体" w:eastAsia="宋体" w:cs="宋体"/>
                <w:color w:val="auto"/>
                <w:kern w:val="2"/>
                <w:sz w:val="24"/>
                <w:szCs w:val="24"/>
                <w:highlight w:val="none"/>
                <w:u w:val="none"/>
                <w:lang w:val="en-US" w:eastAsia="zh-CN"/>
              </w:rPr>
              <w:t xml:space="preserve"> </w:t>
            </w:r>
            <w:r>
              <w:rPr>
                <w:rFonts w:hint="eastAsia" w:ascii="宋体" w:hAnsi="宋体" w:eastAsia="宋体" w:cs="宋体"/>
                <w:snapToGrid w:val="0"/>
                <w:color w:val="auto"/>
                <w:sz w:val="24"/>
                <w:szCs w:val="24"/>
                <w:highlight w:val="none"/>
                <w:lang w:eastAsia="zh-CN"/>
              </w:rPr>
              <w:sym w:font="Wingdings 2" w:char="0052"/>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b/>
                <w:snapToGrid w:val="0"/>
                <w:color w:val="auto"/>
                <w:kern w:val="0"/>
                <w:sz w:val="24"/>
                <w:szCs w:val="24"/>
                <w:highlight w:val="none"/>
                <w:u w:val="single"/>
              </w:rPr>
              <w:t>需要</w:t>
            </w:r>
            <w:r>
              <w:rPr>
                <w:rFonts w:hint="eastAsia" w:ascii="宋体" w:hAnsi="宋体" w:eastAsia="宋体" w:cs="宋体"/>
                <w:b/>
                <w:snapToGrid w:val="0"/>
                <w:color w:val="auto"/>
                <w:kern w:val="0"/>
                <w:sz w:val="24"/>
                <w:szCs w:val="24"/>
                <w:highlight w:val="none"/>
                <w:u w:val="single"/>
                <w:lang w:eastAsia="zh-CN"/>
              </w:rPr>
              <w:t>缴纳</w:t>
            </w:r>
            <w:r>
              <w:rPr>
                <w:rFonts w:hint="eastAsia" w:ascii="宋体" w:hAnsi="宋体" w:eastAsia="宋体" w:cs="宋体"/>
                <w:b/>
                <w:snapToGrid w:val="0"/>
                <w:color w:val="auto"/>
                <w:kern w:val="0"/>
                <w:sz w:val="24"/>
                <w:szCs w:val="24"/>
                <w:highlight w:val="none"/>
              </w:rPr>
              <w:t>投标保证金。</w:t>
            </w:r>
          </w:p>
          <w:p w14:paraId="2DBA0FDB">
            <w:pPr>
              <w:keepNext w:val="0"/>
              <w:keepLines w:val="0"/>
              <w:widowControl/>
              <w:suppressLineNumbers w:val="0"/>
              <w:adjustRightInd/>
              <w:snapToGrid/>
              <w:spacing w:before="0" w:beforeAutospacing="0" w:after="0" w:afterAutospacing="0" w:line="400" w:lineRule="exact"/>
              <w:ind w:left="0" w:right="0"/>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1</w:t>
            </w:r>
            <w:r>
              <w:rPr>
                <w:rFonts w:hint="eastAsia" w:ascii="宋体" w:hAnsi="宋体" w:eastAsia="宋体" w:cs="宋体"/>
                <w:bCs/>
                <w:color w:val="auto"/>
                <w:sz w:val="24"/>
                <w:szCs w:val="24"/>
                <w:highlight w:val="none"/>
                <w:u w:val="none"/>
                <w:lang w:eastAsia="zh-CN"/>
              </w:rPr>
              <w:t>）交纳金额：</w:t>
            </w:r>
            <w:r>
              <w:rPr>
                <w:rFonts w:hint="eastAsia" w:ascii="宋体" w:hAnsi="宋体" w:eastAsia="宋体" w:cs="宋体"/>
                <w:bCs/>
                <w:color w:val="auto"/>
                <w:sz w:val="24"/>
                <w:szCs w:val="24"/>
                <w:highlight w:val="none"/>
                <w:u w:val="single"/>
                <w:lang w:val="en-US" w:eastAsia="zh-CN"/>
              </w:rPr>
              <w:t>6900</w:t>
            </w:r>
            <w:r>
              <w:rPr>
                <w:rFonts w:hint="eastAsia" w:ascii="宋体" w:hAnsi="宋体" w:eastAsia="宋体" w:cs="宋体"/>
                <w:b w:val="0"/>
                <w:bCs/>
                <w:color w:val="auto"/>
                <w:sz w:val="24"/>
                <w:szCs w:val="24"/>
                <w:highlight w:val="none"/>
                <w:lang w:val="en-US" w:eastAsia="zh-CN"/>
              </w:rPr>
              <w:t>元；</w:t>
            </w:r>
          </w:p>
          <w:p w14:paraId="19EAEF84">
            <w:pPr>
              <w:keepNext w:val="0"/>
              <w:keepLines w:val="0"/>
              <w:widowControl/>
              <w:suppressLineNumbers w:val="0"/>
              <w:adjustRightInd/>
              <w:snapToGrid/>
              <w:spacing w:before="0" w:beforeAutospacing="0" w:after="0" w:afterAutospacing="0" w:line="400" w:lineRule="exact"/>
              <w:ind w:left="0" w:right="0"/>
              <w:jc w:val="left"/>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2</w:t>
            </w:r>
            <w:r>
              <w:rPr>
                <w:rFonts w:hint="eastAsia" w:ascii="宋体" w:hAnsi="宋体" w:eastAsia="宋体" w:cs="宋体"/>
                <w:bCs/>
                <w:color w:val="auto"/>
                <w:sz w:val="24"/>
                <w:szCs w:val="24"/>
                <w:highlight w:val="none"/>
                <w:u w:val="none"/>
                <w:lang w:eastAsia="zh-CN"/>
              </w:rPr>
              <w:t>）交纳期限：投标截止时间</w:t>
            </w:r>
            <w:r>
              <w:rPr>
                <w:rFonts w:hint="eastAsia" w:ascii="宋体" w:hAnsi="宋体" w:eastAsia="宋体" w:cs="宋体"/>
                <w:bCs/>
                <w:color w:val="auto"/>
                <w:sz w:val="24"/>
                <w:szCs w:val="24"/>
                <w:highlight w:val="none"/>
                <w:u w:val="none"/>
              </w:rPr>
              <w:t>前。</w:t>
            </w:r>
            <w:r>
              <w:rPr>
                <w:rFonts w:hint="eastAsia" w:ascii="宋体" w:hAnsi="宋体" w:eastAsia="宋体" w:cs="宋体"/>
                <w:bCs/>
                <w:color w:val="auto"/>
                <w:sz w:val="24"/>
                <w:szCs w:val="24"/>
                <w:highlight w:val="none"/>
                <w:u w:val="none"/>
                <w:lang w:val="en-US" w:eastAsia="zh-CN"/>
              </w:rPr>
              <w:t>具体详</w:t>
            </w:r>
            <w:r>
              <w:rPr>
                <w:rFonts w:hint="eastAsia" w:ascii="宋体" w:hAnsi="宋体" w:eastAsia="宋体" w:cs="宋体"/>
                <w:b/>
                <w:snapToGrid w:val="0"/>
                <w:color w:val="auto"/>
                <w:kern w:val="0"/>
                <w:sz w:val="24"/>
                <w:szCs w:val="24"/>
                <w:highlight w:val="none"/>
                <w:lang w:val="en-US" w:eastAsia="zh-CN"/>
              </w:rPr>
              <w:t>见招标公告。</w:t>
            </w:r>
          </w:p>
          <w:p w14:paraId="3EDD4AB1">
            <w:pPr>
              <w:keepNext w:val="0"/>
              <w:keepLines w:val="0"/>
              <w:widowControl/>
              <w:suppressLineNumbers w:val="0"/>
              <w:adjustRightInd/>
              <w:snapToGrid/>
              <w:spacing w:before="0" w:beforeAutospacing="0" w:after="0" w:afterAutospacing="0" w:line="400" w:lineRule="exact"/>
              <w:ind w:left="0" w:right="0"/>
              <w:jc w:val="left"/>
              <w:rPr>
                <w:rFonts w:hint="eastAsia" w:ascii="宋体" w:hAnsi="宋体" w:eastAsia="宋体" w:cs="宋体"/>
                <w:b/>
                <w:snapToGrid w:val="0"/>
                <w:color w:val="auto"/>
                <w:kern w:val="2"/>
                <w:sz w:val="24"/>
                <w:szCs w:val="24"/>
                <w:highlight w:val="none"/>
              </w:rPr>
            </w:pPr>
            <w:r>
              <w:rPr>
                <w:rFonts w:hint="eastAsia" w:ascii="宋体" w:hAnsi="宋体" w:eastAsia="宋体" w:cs="宋体"/>
                <w:b/>
                <w:snapToGrid w:val="0"/>
                <w:color w:val="auto"/>
                <w:kern w:val="2"/>
                <w:sz w:val="24"/>
                <w:szCs w:val="24"/>
                <w:highlight w:val="none"/>
              </w:rPr>
              <w:t>注：</w:t>
            </w:r>
          </w:p>
          <w:p w14:paraId="26DD6093">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2"/>
                <w:sz w:val="24"/>
                <w:szCs w:val="24"/>
                <w:highlight w:val="none"/>
                <w:lang w:eastAsia="zh-CN"/>
              </w:rPr>
              <w:t>（</w:t>
            </w:r>
            <w:r>
              <w:rPr>
                <w:rFonts w:hint="eastAsia" w:ascii="宋体" w:hAnsi="宋体" w:eastAsia="宋体" w:cs="宋体"/>
                <w:b/>
                <w:snapToGrid w:val="0"/>
                <w:color w:val="auto"/>
                <w:kern w:val="2"/>
                <w:sz w:val="24"/>
                <w:szCs w:val="24"/>
                <w:highlight w:val="none"/>
                <w:lang w:val="en-US" w:eastAsia="zh-CN"/>
              </w:rPr>
              <w:t>1</w:t>
            </w:r>
            <w:r>
              <w:rPr>
                <w:rFonts w:hint="eastAsia" w:ascii="宋体" w:hAnsi="宋体" w:eastAsia="宋体" w:cs="宋体"/>
                <w:b/>
                <w:snapToGrid w:val="0"/>
                <w:color w:val="auto"/>
                <w:kern w:val="2"/>
                <w:sz w:val="24"/>
                <w:szCs w:val="24"/>
                <w:highlight w:val="none"/>
                <w:lang w:eastAsia="zh-CN"/>
              </w:rPr>
              <w:t>）</w:t>
            </w:r>
            <w:r>
              <w:rPr>
                <w:rFonts w:hint="eastAsia" w:ascii="宋体" w:hAnsi="宋体" w:eastAsia="宋体" w:cs="宋体"/>
                <w:b/>
                <w:snapToGrid w:val="0"/>
                <w:color w:val="auto"/>
                <w:kern w:val="2"/>
                <w:sz w:val="24"/>
                <w:szCs w:val="24"/>
                <w:highlight w:val="none"/>
              </w:rPr>
              <w:t>投标保证金</w:t>
            </w:r>
            <w:r>
              <w:rPr>
                <w:rFonts w:hint="eastAsia" w:ascii="宋体" w:hAnsi="宋体" w:eastAsia="宋体" w:cs="宋体"/>
                <w:b/>
                <w:snapToGrid w:val="0"/>
                <w:color w:val="auto"/>
                <w:kern w:val="2"/>
                <w:sz w:val="24"/>
                <w:szCs w:val="24"/>
                <w:highlight w:val="none"/>
                <w:lang w:val="en-US" w:eastAsia="zh-CN"/>
              </w:rPr>
              <w:t>缴纳</w:t>
            </w:r>
            <w:r>
              <w:rPr>
                <w:rFonts w:hint="eastAsia" w:ascii="宋体" w:hAnsi="宋体" w:eastAsia="宋体" w:cs="宋体"/>
                <w:b/>
                <w:snapToGrid w:val="0"/>
                <w:color w:val="auto"/>
                <w:kern w:val="2"/>
                <w:sz w:val="24"/>
                <w:szCs w:val="24"/>
                <w:highlight w:val="none"/>
              </w:rPr>
              <w:t>后，</w:t>
            </w:r>
            <w:r>
              <w:rPr>
                <w:rFonts w:hint="eastAsia" w:ascii="宋体" w:hAnsi="宋体" w:eastAsia="宋体" w:cs="宋体"/>
                <w:b/>
                <w:snapToGrid w:val="0"/>
                <w:color w:val="auto"/>
                <w:kern w:val="2"/>
                <w:sz w:val="24"/>
                <w:szCs w:val="24"/>
                <w:highlight w:val="none"/>
                <w:lang w:val="en-US" w:eastAsia="zh-CN"/>
              </w:rPr>
              <w:t>须在投标文件中提供</w:t>
            </w:r>
            <w:r>
              <w:rPr>
                <w:rFonts w:hint="eastAsia" w:ascii="宋体" w:hAnsi="宋体" w:eastAsia="宋体" w:cs="宋体"/>
                <w:b/>
                <w:snapToGrid w:val="0"/>
                <w:color w:val="auto"/>
                <w:sz w:val="24"/>
                <w:szCs w:val="24"/>
                <w:highlight w:val="none"/>
              </w:rPr>
              <w:t>投标保证金缴存证明</w:t>
            </w:r>
            <w:r>
              <w:rPr>
                <w:rFonts w:hint="eastAsia" w:ascii="宋体" w:hAnsi="宋体" w:eastAsia="宋体" w:cs="宋体"/>
                <w:b/>
                <w:snapToGrid w:val="0"/>
                <w:color w:val="auto"/>
                <w:kern w:val="2"/>
                <w:sz w:val="24"/>
                <w:szCs w:val="24"/>
                <w:highlight w:val="none"/>
                <w:lang w:eastAsia="zh-CN"/>
              </w:rPr>
              <w:t>；</w:t>
            </w:r>
          </w:p>
        </w:tc>
      </w:tr>
      <w:tr w14:paraId="79B59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33170FC3">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4.4.1</w:t>
            </w:r>
          </w:p>
        </w:tc>
        <w:tc>
          <w:tcPr>
            <w:tcW w:w="1911" w:type="dxa"/>
            <w:noWrap w:val="0"/>
            <w:vAlign w:val="center"/>
          </w:tcPr>
          <w:p w14:paraId="39BA4A6A">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投标样品</w:t>
            </w:r>
          </w:p>
        </w:tc>
        <w:tc>
          <w:tcPr>
            <w:tcW w:w="6255" w:type="dxa"/>
            <w:noWrap w:val="0"/>
            <w:vAlign w:val="center"/>
          </w:tcPr>
          <w:p w14:paraId="4B437FEA">
            <w:pPr>
              <w:keepNext w:val="0"/>
              <w:keepLines w:val="0"/>
              <w:widowControl/>
              <w:suppressLineNumbers w:val="0"/>
              <w:autoSpaceDE w:val="0"/>
              <w:autoSpaceDN w:val="0"/>
              <w:adjustRightInd w:val="0"/>
              <w:snapToGrid w:val="0"/>
              <w:spacing w:before="0" w:beforeAutospacing="0" w:after="0" w:afterAutospacing="0" w:line="32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本项目有无要求投标人提供样品：</w:t>
            </w:r>
          </w:p>
          <w:p w14:paraId="4602DB2A">
            <w:pPr>
              <w:keepNext w:val="0"/>
              <w:keepLines w:val="0"/>
              <w:widowControl/>
              <w:suppressLineNumbers w:val="0"/>
              <w:autoSpaceDE w:val="0"/>
              <w:autoSpaceDN w:val="0"/>
              <w:adjustRightInd w:val="0"/>
              <w:snapToGrid w:val="0"/>
              <w:spacing w:before="0" w:beforeAutospacing="0" w:after="0" w:afterAutospacing="0" w:line="320" w:lineRule="exact"/>
              <w:ind w:left="0" w:right="0" w:firstLine="240" w:firstLineChars="100"/>
              <w:jc w:val="left"/>
              <w:rPr>
                <w:rFonts w:hint="eastAsia" w:ascii="宋体" w:hAnsi="宋体" w:eastAsia="宋体" w:cs="宋体"/>
                <w:b/>
                <w:bCs w:val="0"/>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 xml:space="preserve">无 </w:t>
            </w:r>
          </w:p>
        </w:tc>
      </w:tr>
      <w:tr w14:paraId="45155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2AE175CC">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4.5.1</w:t>
            </w:r>
          </w:p>
        </w:tc>
        <w:tc>
          <w:tcPr>
            <w:tcW w:w="1911" w:type="dxa"/>
            <w:noWrap w:val="0"/>
            <w:vAlign w:val="center"/>
          </w:tcPr>
          <w:p w14:paraId="760BA522">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投标文件密封包装要求</w:t>
            </w:r>
          </w:p>
        </w:tc>
        <w:tc>
          <w:tcPr>
            <w:tcW w:w="6255" w:type="dxa"/>
            <w:noWrap w:val="0"/>
            <w:vAlign w:val="center"/>
          </w:tcPr>
          <w:p w14:paraId="597CEF7C">
            <w:pPr>
              <w:pStyle w:val="22"/>
              <w:spacing w:before="0" w:beforeAutospacing="0" w:after="0" w:line="400" w:lineRule="exact"/>
              <w:ind w:left="0" w:right="0" w:firstLine="0" w:firstLineChars="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shd w:val="clear" w:color="auto" w:fill="auto"/>
                <w:lang w:eastAsia="zh-CN"/>
              </w:rPr>
              <w:t>对投标文件密封包装的要求详见投标人须知</w:t>
            </w:r>
            <w:r>
              <w:rPr>
                <w:rFonts w:hint="eastAsia" w:ascii="宋体" w:hAnsi="宋体" w:eastAsia="宋体" w:cs="宋体"/>
                <w:snapToGrid w:val="0"/>
                <w:color w:val="auto"/>
                <w:sz w:val="24"/>
                <w:szCs w:val="24"/>
                <w:highlight w:val="none"/>
                <w:shd w:val="clear" w:color="auto" w:fill="auto"/>
                <w:lang w:val="en-US" w:eastAsia="zh-CN"/>
              </w:rPr>
              <w:t>第4.5。</w:t>
            </w:r>
          </w:p>
        </w:tc>
      </w:tr>
      <w:tr w14:paraId="39D5C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79353CCB">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4.5.2</w:t>
            </w:r>
          </w:p>
        </w:tc>
        <w:tc>
          <w:tcPr>
            <w:tcW w:w="1911" w:type="dxa"/>
            <w:noWrap w:val="0"/>
            <w:vAlign w:val="center"/>
          </w:tcPr>
          <w:p w14:paraId="1413DB16">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封套上写明</w:t>
            </w:r>
          </w:p>
        </w:tc>
        <w:tc>
          <w:tcPr>
            <w:tcW w:w="6255" w:type="dxa"/>
            <w:noWrap w:val="0"/>
            <w:vAlign w:val="center"/>
          </w:tcPr>
          <w:p w14:paraId="2BFF7F50">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color w:val="auto"/>
                <w:kern w:val="0"/>
                <w:sz w:val="24"/>
                <w:szCs w:val="24"/>
                <w:highlight w:val="none"/>
              </w:rPr>
            </w:pPr>
            <w:bookmarkStart w:id="3" w:name="OLE_LINK1"/>
            <w:r>
              <w:rPr>
                <w:rFonts w:hint="eastAsia" w:ascii="宋体" w:hAnsi="宋体" w:eastAsia="宋体" w:cs="宋体"/>
                <w:snapToGrid w:val="0"/>
                <w:color w:val="auto"/>
                <w:kern w:val="0"/>
                <w:sz w:val="24"/>
                <w:szCs w:val="24"/>
                <w:highlight w:val="none"/>
                <w:u w:val="single"/>
              </w:rPr>
              <w:t xml:space="preserve">         （项目名称）         </w:t>
            </w:r>
            <w:r>
              <w:rPr>
                <w:rFonts w:hint="eastAsia" w:ascii="宋体" w:hAnsi="宋体" w:eastAsia="宋体" w:cs="宋体"/>
                <w:snapToGrid w:val="0"/>
                <w:color w:val="auto"/>
                <w:kern w:val="0"/>
                <w:sz w:val="24"/>
                <w:szCs w:val="24"/>
                <w:highlight w:val="none"/>
              </w:rPr>
              <w:t>投标文件</w:t>
            </w:r>
          </w:p>
          <w:p w14:paraId="04442356">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分（即开标时间）前不得开启。</w:t>
            </w:r>
          </w:p>
          <w:p w14:paraId="4FF77F2F">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投标人名称：</w:t>
            </w:r>
            <w:r>
              <w:rPr>
                <w:rFonts w:hint="eastAsia" w:ascii="宋体" w:hAnsi="宋体" w:eastAsia="宋体" w:cs="宋体"/>
                <w:snapToGrid w:val="0"/>
                <w:color w:val="auto"/>
                <w:kern w:val="0"/>
                <w:sz w:val="24"/>
                <w:szCs w:val="24"/>
                <w:highlight w:val="none"/>
                <w:u w:val="single"/>
              </w:rPr>
              <w:t xml:space="preserve">                       </w:t>
            </w:r>
          </w:p>
          <w:p w14:paraId="38CDCE5B">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投标人地址：</w:t>
            </w:r>
            <w:r>
              <w:rPr>
                <w:rFonts w:hint="eastAsia" w:ascii="宋体" w:hAnsi="宋体" w:eastAsia="宋体" w:cs="宋体"/>
                <w:snapToGrid w:val="0"/>
                <w:color w:val="auto"/>
                <w:kern w:val="0"/>
                <w:sz w:val="24"/>
                <w:szCs w:val="24"/>
                <w:highlight w:val="none"/>
                <w:u w:val="single"/>
              </w:rPr>
              <w:t xml:space="preserve">                         </w:t>
            </w:r>
          </w:p>
          <w:p w14:paraId="50FB3B5E">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 系 人：</w:t>
            </w:r>
            <w:r>
              <w:rPr>
                <w:rFonts w:hint="eastAsia" w:ascii="宋体" w:hAnsi="宋体" w:eastAsia="宋体" w:cs="宋体"/>
                <w:snapToGrid w:val="0"/>
                <w:color w:val="auto"/>
                <w:kern w:val="0"/>
                <w:sz w:val="24"/>
                <w:szCs w:val="24"/>
                <w:highlight w:val="none"/>
                <w:u w:val="single"/>
              </w:rPr>
              <w:t xml:space="preserve">          </w:t>
            </w:r>
          </w:p>
          <w:p w14:paraId="5CEF69D7">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手机号码：</w:t>
            </w:r>
            <w:r>
              <w:rPr>
                <w:rFonts w:hint="eastAsia" w:ascii="宋体" w:hAnsi="宋体" w:eastAsia="宋体" w:cs="宋体"/>
                <w:snapToGrid w:val="0"/>
                <w:color w:val="auto"/>
                <w:kern w:val="0"/>
                <w:sz w:val="24"/>
                <w:szCs w:val="24"/>
                <w:highlight w:val="none"/>
                <w:u w:val="single"/>
              </w:rPr>
              <w:t xml:space="preserve">          </w:t>
            </w:r>
          </w:p>
          <w:p w14:paraId="004274A4">
            <w:pPr>
              <w:keepNext w:val="0"/>
              <w:keepLines w:val="0"/>
              <w:suppressLineNumbers w:val="0"/>
              <w:autoSpaceDE w:val="0"/>
              <w:autoSpaceDN w:val="0"/>
              <w:adjustRightInd w:val="0"/>
              <w:snapToGrid w:val="0"/>
              <w:spacing w:before="0" w:beforeAutospacing="0" w:after="0" w:afterAutospacing="0" w:line="32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电子邮箱：</w:t>
            </w:r>
            <w:r>
              <w:rPr>
                <w:rFonts w:hint="eastAsia" w:ascii="宋体" w:hAnsi="宋体" w:eastAsia="宋体" w:cs="宋体"/>
                <w:snapToGrid w:val="0"/>
                <w:color w:val="auto"/>
                <w:kern w:val="0"/>
                <w:sz w:val="24"/>
                <w:szCs w:val="24"/>
                <w:highlight w:val="none"/>
                <w:u w:val="single"/>
              </w:rPr>
              <w:t xml:space="preserve">          </w:t>
            </w:r>
            <w:bookmarkEnd w:id="3"/>
          </w:p>
        </w:tc>
      </w:tr>
      <w:tr w14:paraId="3E75E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75B8437E">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4.7.</w:t>
            </w:r>
            <w:r>
              <w:rPr>
                <w:rFonts w:hint="eastAsia" w:ascii="宋体" w:hAnsi="宋体" w:eastAsia="宋体" w:cs="宋体"/>
                <w:snapToGrid w:val="0"/>
                <w:color w:val="auto"/>
                <w:kern w:val="0"/>
                <w:sz w:val="24"/>
                <w:szCs w:val="24"/>
                <w:highlight w:val="none"/>
                <w:lang w:val="en-US"/>
              </w:rPr>
              <w:t>1</w:t>
            </w:r>
          </w:p>
        </w:tc>
        <w:tc>
          <w:tcPr>
            <w:tcW w:w="1911" w:type="dxa"/>
            <w:noWrap w:val="0"/>
            <w:vAlign w:val="center"/>
          </w:tcPr>
          <w:p w14:paraId="7E8DD37C">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投标</w:t>
            </w:r>
            <w:r>
              <w:rPr>
                <w:rFonts w:hint="eastAsia" w:ascii="宋体" w:hAnsi="宋体" w:eastAsia="宋体" w:cs="宋体"/>
                <w:snapToGrid w:val="0"/>
                <w:color w:val="auto"/>
                <w:kern w:val="0"/>
                <w:sz w:val="24"/>
                <w:szCs w:val="24"/>
                <w:highlight w:val="none"/>
                <w:lang w:val="en-US" w:eastAsia="zh-CN"/>
              </w:rPr>
              <w:t>文件递交</w:t>
            </w:r>
          </w:p>
        </w:tc>
        <w:tc>
          <w:tcPr>
            <w:tcW w:w="6255" w:type="dxa"/>
            <w:noWrap w:val="0"/>
            <w:vAlign w:val="center"/>
          </w:tcPr>
          <w:p w14:paraId="628FC367">
            <w:pPr>
              <w:keepNext w:val="0"/>
              <w:keepLines w:val="0"/>
              <w:suppressLineNumbers w:val="0"/>
              <w:wordWrap w:val="0"/>
              <w:spacing w:before="0" w:beforeAutospacing="0" w:after="0" w:afterAutospacing="0" w:line="400" w:lineRule="exact"/>
              <w:ind w:left="0" w:right="62"/>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文件递交地点：见招标公告。</w:t>
            </w:r>
          </w:p>
          <w:p w14:paraId="21775120">
            <w:pPr>
              <w:keepNext w:val="0"/>
              <w:keepLines w:val="0"/>
              <w:suppressLineNumbers w:val="0"/>
              <w:wordWrap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文件递交方式：采用以下方式。</w:t>
            </w:r>
          </w:p>
          <w:p w14:paraId="4DB25944">
            <w:pPr>
              <w:pStyle w:val="41"/>
              <w:keepNext w:val="0"/>
              <w:keepLines w:val="0"/>
              <w:widowControl/>
              <w:suppressLineNumbers w:val="0"/>
              <w:spacing w:before="0" w:beforeAutospacing="0" w:after="0" w:afterAutospacing="0" w:line="380" w:lineRule="exact"/>
              <w:ind w:left="0" w:leftChars="0" w:right="0" w:firstLine="0" w:firstLineChars="0"/>
              <w:jc w:val="left"/>
              <w:rPr>
                <w:rFonts w:hint="eastAsia" w:ascii="宋体" w:hAnsi="宋体" w:eastAsia="宋体" w:cs="宋体"/>
                <w:b/>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bidi="ar-SA"/>
              </w:rPr>
              <w:t>开标现场递交，各投标人法定代表人或其委托代理人对投标文件的递交记录情况进行签字确认。开标现场：</w:t>
            </w:r>
            <w:r>
              <w:rPr>
                <w:rFonts w:hint="eastAsia" w:ascii="宋体" w:hAnsi="宋体" w:eastAsia="宋体" w:cs="宋体"/>
                <w:snapToGrid w:val="0"/>
                <w:color w:val="auto"/>
                <w:kern w:val="0"/>
                <w:sz w:val="24"/>
                <w:szCs w:val="24"/>
                <w:highlight w:val="none"/>
                <w:u w:val="single"/>
                <w:lang w:val="en-US" w:eastAsia="zh-CN" w:bidi="ar-SA"/>
              </w:rPr>
              <w:t>见招标公告</w:t>
            </w:r>
            <w:r>
              <w:rPr>
                <w:rFonts w:hint="eastAsia" w:ascii="宋体" w:hAnsi="宋体" w:eastAsia="宋体" w:cs="宋体"/>
                <w:snapToGrid w:val="0"/>
                <w:color w:val="auto"/>
                <w:kern w:val="0"/>
                <w:sz w:val="24"/>
                <w:szCs w:val="24"/>
                <w:highlight w:val="none"/>
                <w:lang w:val="en-US" w:eastAsia="zh-CN" w:bidi="ar-SA"/>
              </w:rPr>
              <w:t>。</w:t>
            </w:r>
          </w:p>
        </w:tc>
      </w:tr>
      <w:tr w14:paraId="20362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noWrap w:val="0"/>
            <w:vAlign w:val="center"/>
          </w:tcPr>
          <w:p w14:paraId="376C3CEF">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4.7.4</w:t>
            </w:r>
          </w:p>
        </w:tc>
        <w:tc>
          <w:tcPr>
            <w:tcW w:w="1911" w:type="dxa"/>
            <w:noWrap w:val="0"/>
            <w:vAlign w:val="center"/>
          </w:tcPr>
          <w:p w14:paraId="4688E0C5">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投标截止时间</w:t>
            </w:r>
          </w:p>
        </w:tc>
        <w:tc>
          <w:tcPr>
            <w:tcW w:w="6255" w:type="dxa"/>
            <w:noWrap w:val="0"/>
            <w:vAlign w:val="center"/>
          </w:tcPr>
          <w:p w14:paraId="7F2303E6">
            <w:pPr>
              <w:keepNext w:val="0"/>
              <w:keepLines w:val="0"/>
              <w:suppressLineNumbers w:val="0"/>
              <w:autoSpaceDE w:val="0"/>
              <w:autoSpaceDN w:val="0"/>
              <w:adjustRightInd w:val="0"/>
              <w:snapToGrid w:val="0"/>
              <w:spacing w:before="0" w:beforeAutospacing="0" w:after="0" w:afterAutospacing="0" w:line="400" w:lineRule="exact"/>
              <w:ind w:left="0" w:right="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2024</w:t>
            </w:r>
            <w:r>
              <w:rPr>
                <w:rFonts w:hint="eastAsia" w:ascii="宋体" w:hAnsi="宋体" w:eastAsia="宋体" w:cs="宋体"/>
                <w:b/>
                <w:color w:val="auto"/>
                <w:sz w:val="24"/>
                <w:szCs w:val="24"/>
                <w:highlight w:val="none"/>
                <w:lang w:val="zh-CN"/>
              </w:rPr>
              <w:t>年</w:t>
            </w:r>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lang w:val="zh-CN"/>
              </w:rPr>
              <w:t>月</w:t>
            </w:r>
            <w:r>
              <w:rPr>
                <w:rFonts w:hint="eastAsia" w:ascii="宋体" w:hAnsi="宋体" w:eastAsia="宋体" w:cs="宋体"/>
                <w:b/>
                <w:color w:val="auto"/>
                <w:sz w:val="24"/>
                <w:szCs w:val="24"/>
                <w:highlight w:val="none"/>
                <w:lang w:val="en-US" w:eastAsia="zh-CN"/>
              </w:rPr>
              <w:t>22</w:t>
            </w:r>
            <w:r>
              <w:rPr>
                <w:rFonts w:hint="eastAsia" w:ascii="宋体" w:hAnsi="宋体" w:eastAsia="宋体" w:cs="宋体"/>
                <w:b/>
                <w:color w:val="auto"/>
                <w:sz w:val="24"/>
                <w:szCs w:val="24"/>
                <w:highlight w:val="none"/>
                <w:lang w:val="zh-CN"/>
              </w:rPr>
              <w:t>日</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lang w:val="zh-CN"/>
              </w:rPr>
              <w:t>时</w:t>
            </w:r>
            <w:r>
              <w:rPr>
                <w:rFonts w:hint="eastAsia" w:ascii="宋体" w:hAnsi="宋体" w:eastAsia="宋体" w:cs="宋体"/>
                <w:b/>
                <w:color w:val="auto"/>
                <w:sz w:val="24"/>
                <w:szCs w:val="24"/>
                <w:highlight w:val="none"/>
                <w:u w:val="single"/>
                <w:lang w:val="en-US" w:eastAsia="zh-CN"/>
              </w:rPr>
              <w:t>15</w:t>
            </w:r>
            <w:r>
              <w:rPr>
                <w:rFonts w:hint="eastAsia" w:ascii="宋体" w:hAnsi="宋体" w:eastAsia="宋体" w:cs="宋体"/>
                <w:b/>
                <w:color w:val="auto"/>
                <w:sz w:val="24"/>
                <w:szCs w:val="24"/>
                <w:highlight w:val="none"/>
                <w:lang w:val="zh-CN"/>
              </w:rPr>
              <w:t>分</w:t>
            </w:r>
          </w:p>
        </w:tc>
      </w:tr>
      <w:tr w14:paraId="57991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2" w:type="dxa"/>
            <w:noWrap w:val="0"/>
            <w:vAlign w:val="center"/>
          </w:tcPr>
          <w:p w14:paraId="054C7AA5">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4.8.1</w:t>
            </w:r>
          </w:p>
        </w:tc>
        <w:tc>
          <w:tcPr>
            <w:tcW w:w="1911" w:type="dxa"/>
            <w:noWrap w:val="0"/>
            <w:vAlign w:val="center"/>
          </w:tcPr>
          <w:p w14:paraId="59A35760">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投标有效期</w:t>
            </w:r>
          </w:p>
        </w:tc>
        <w:tc>
          <w:tcPr>
            <w:tcW w:w="6255" w:type="dxa"/>
            <w:noWrap w:val="0"/>
            <w:vAlign w:val="center"/>
          </w:tcPr>
          <w:p w14:paraId="4C723BBD">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u w:val="single"/>
              </w:rPr>
              <w:t>90</w:t>
            </w:r>
            <w:r>
              <w:rPr>
                <w:rFonts w:hint="eastAsia" w:ascii="宋体" w:hAnsi="宋体" w:eastAsia="宋体" w:cs="宋体"/>
                <w:snapToGrid w:val="0"/>
                <w:color w:val="auto"/>
                <w:kern w:val="0"/>
                <w:sz w:val="24"/>
                <w:szCs w:val="24"/>
                <w:highlight w:val="none"/>
              </w:rPr>
              <w:t>日历天（从投标截止之日算起）</w:t>
            </w:r>
          </w:p>
        </w:tc>
      </w:tr>
      <w:tr w14:paraId="36D9C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6B899C47">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5.1.1</w:t>
            </w:r>
          </w:p>
        </w:tc>
        <w:tc>
          <w:tcPr>
            <w:tcW w:w="1911" w:type="dxa"/>
            <w:noWrap w:val="0"/>
            <w:vAlign w:val="center"/>
          </w:tcPr>
          <w:p w14:paraId="669C87A3">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开标时间和地点</w:t>
            </w:r>
          </w:p>
        </w:tc>
        <w:tc>
          <w:tcPr>
            <w:tcW w:w="6255" w:type="dxa"/>
            <w:noWrap w:val="0"/>
            <w:vAlign w:val="center"/>
          </w:tcPr>
          <w:p w14:paraId="22CA3E93">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开标时间：同投标截止时间。</w:t>
            </w:r>
          </w:p>
          <w:p w14:paraId="2F94C710">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开标地点：同投标文件递交地点。</w:t>
            </w:r>
          </w:p>
        </w:tc>
      </w:tr>
      <w:tr w14:paraId="59318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722896B4">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5.2.1</w:t>
            </w:r>
          </w:p>
        </w:tc>
        <w:tc>
          <w:tcPr>
            <w:tcW w:w="1911" w:type="dxa"/>
            <w:noWrap w:val="0"/>
            <w:vAlign w:val="center"/>
          </w:tcPr>
          <w:p w14:paraId="6A9A0911">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w:t>
            </w:r>
          </w:p>
          <w:p w14:paraId="6515584C">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应携带的资料</w:t>
            </w:r>
          </w:p>
        </w:tc>
        <w:tc>
          <w:tcPr>
            <w:tcW w:w="6255" w:type="dxa"/>
            <w:noWrap w:val="0"/>
            <w:vAlign w:val="center"/>
          </w:tcPr>
          <w:p w14:paraId="3A8F7062">
            <w:pPr>
              <w:keepNext w:val="0"/>
              <w:keepLines w:val="0"/>
              <w:suppressLineNumbers w:val="0"/>
              <w:autoSpaceDE w:val="0"/>
              <w:autoSpaceDN w:val="0"/>
              <w:adjustRightInd w:val="0"/>
              <w:snapToGrid w:val="0"/>
              <w:spacing w:before="0" w:beforeAutospacing="0" w:after="0" w:afterAutospacing="0" w:line="312"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参加开标的投标人法定代表人或其</w:t>
            </w:r>
            <w:r>
              <w:rPr>
                <w:rFonts w:hint="eastAsia" w:ascii="宋体" w:hAnsi="宋体" w:eastAsia="宋体" w:cs="宋体"/>
                <w:color w:val="auto"/>
                <w:sz w:val="24"/>
                <w:szCs w:val="24"/>
                <w:highlight w:val="none"/>
                <w:lang w:val="en-US"/>
              </w:rPr>
              <w:t>委托代理人</w:t>
            </w:r>
            <w:r>
              <w:rPr>
                <w:rFonts w:hint="eastAsia" w:ascii="宋体" w:hAnsi="宋体" w:eastAsia="宋体" w:cs="宋体"/>
                <w:color w:val="auto"/>
                <w:sz w:val="24"/>
                <w:szCs w:val="24"/>
                <w:highlight w:val="none"/>
              </w:rPr>
              <w:t>必须随带本人身份证（或驾驶证或公安机关出具的临时身份证明或港澳台胞证或护照）原件（其他诸如市民卡等无效）、法定代表人身份证明（详见第五章“投标文件格式”，委托代理人还须提供授权委托书）原件，</w:t>
            </w:r>
          </w:p>
          <w:p w14:paraId="2A0CC222">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注：投标文件递交有效（</w:t>
            </w:r>
            <w:r>
              <w:rPr>
                <w:rFonts w:hint="eastAsia" w:ascii="宋体" w:hAnsi="宋体" w:eastAsia="宋体" w:cs="宋体"/>
                <w:color w:val="auto"/>
                <w:sz w:val="24"/>
                <w:szCs w:val="24"/>
                <w:highlight w:val="none"/>
              </w:rPr>
              <w:t>投标文件递交有效性以纸质投标文件递交时间为准，下同</w:t>
            </w:r>
            <w:r>
              <w:rPr>
                <w:rFonts w:hint="eastAsia" w:ascii="宋体" w:hAnsi="宋体" w:eastAsia="宋体" w:cs="宋体"/>
                <w:snapToGrid w:val="0"/>
                <w:color w:val="auto"/>
                <w:kern w:val="0"/>
                <w:sz w:val="24"/>
                <w:szCs w:val="24"/>
                <w:highlight w:val="none"/>
              </w:rPr>
              <w:t>），而</w:t>
            </w:r>
            <w:r>
              <w:rPr>
                <w:rFonts w:hint="eastAsia" w:ascii="宋体" w:hAnsi="宋体" w:eastAsia="宋体" w:cs="宋体"/>
                <w:color w:val="auto"/>
                <w:sz w:val="24"/>
                <w:szCs w:val="24"/>
                <w:highlight w:val="none"/>
              </w:rPr>
              <w:t>投标人法定代表人或其委托代理人未能参加开标或未能携带上述资料的，视同其未参加开标，不得对开标提出异议，进行开标异常情况登记，不影响开标结果，也不作为否决其投标的评审因素。</w:t>
            </w:r>
          </w:p>
        </w:tc>
      </w:tr>
      <w:tr w14:paraId="2AA42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37DFB90E">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5.3.1</w:t>
            </w:r>
          </w:p>
        </w:tc>
        <w:tc>
          <w:tcPr>
            <w:tcW w:w="1911" w:type="dxa"/>
            <w:noWrap w:val="0"/>
            <w:vAlign w:val="center"/>
          </w:tcPr>
          <w:p w14:paraId="093C465B">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开标顺序</w:t>
            </w:r>
          </w:p>
        </w:tc>
        <w:tc>
          <w:tcPr>
            <w:tcW w:w="6255" w:type="dxa"/>
            <w:noWrap w:val="0"/>
            <w:vAlign w:val="center"/>
          </w:tcPr>
          <w:p w14:paraId="272F734C">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rPr>
              <w:t>按照投标文件</w:t>
            </w:r>
            <w:r>
              <w:rPr>
                <w:rFonts w:hint="eastAsia" w:ascii="宋体" w:hAnsi="宋体" w:eastAsia="宋体" w:cs="宋体"/>
                <w:color w:val="auto"/>
                <w:kern w:val="2"/>
                <w:sz w:val="24"/>
                <w:szCs w:val="24"/>
                <w:highlight w:val="none"/>
                <w:lang w:eastAsia="zh-CN"/>
              </w:rPr>
              <w:t>后</w:t>
            </w:r>
            <w:r>
              <w:rPr>
                <w:rFonts w:hint="eastAsia" w:ascii="宋体" w:hAnsi="宋体" w:eastAsia="宋体" w:cs="宋体"/>
                <w:color w:val="auto"/>
                <w:kern w:val="2"/>
                <w:sz w:val="24"/>
                <w:szCs w:val="24"/>
                <w:highlight w:val="none"/>
              </w:rPr>
              <w:t>递交</w:t>
            </w:r>
            <w:r>
              <w:rPr>
                <w:rFonts w:hint="eastAsia" w:ascii="宋体" w:hAnsi="宋体" w:eastAsia="宋体" w:cs="宋体"/>
                <w:color w:val="auto"/>
                <w:kern w:val="2"/>
                <w:sz w:val="24"/>
                <w:szCs w:val="24"/>
                <w:highlight w:val="none"/>
                <w:lang w:eastAsia="zh-CN"/>
              </w:rPr>
              <w:t>先</w:t>
            </w:r>
            <w:r>
              <w:rPr>
                <w:rFonts w:hint="eastAsia" w:ascii="宋体" w:hAnsi="宋体" w:eastAsia="宋体" w:cs="宋体"/>
                <w:color w:val="auto"/>
                <w:kern w:val="2"/>
                <w:sz w:val="24"/>
                <w:szCs w:val="24"/>
                <w:highlight w:val="none"/>
              </w:rPr>
              <w:t>启封</w:t>
            </w:r>
            <w:r>
              <w:rPr>
                <w:rFonts w:hint="eastAsia" w:ascii="宋体" w:hAnsi="宋体" w:eastAsia="宋体" w:cs="宋体"/>
                <w:color w:val="auto"/>
                <w:kern w:val="2"/>
                <w:sz w:val="24"/>
                <w:szCs w:val="24"/>
                <w:highlight w:val="none"/>
                <w:lang w:val="en-US" w:eastAsia="zh-CN"/>
              </w:rPr>
              <w:t>的顺序确定</w:t>
            </w:r>
          </w:p>
        </w:tc>
      </w:tr>
      <w:tr w14:paraId="3642A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2" w:type="dxa"/>
            <w:noWrap w:val="0"/>
            <w:vAlign w:val="center"/>
          </w:tcPr>
          <w:p w14:paraId="16B055F6">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5.5</w:t>
            </w:r>
          </w:p>
        </w:tc>
        <w:tc>
          <w:tcPr>
            <w:tcW w:w="1911" w:type="dxa"/>
            <w:noWrap w:val="0"/>
            <w:vAlign w:val="center"/>
          </w:tcPr>
          <w:p w14:paraId="4FB3767D">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投标文件</w:t>
            </w:r>
          </w:p>
          <w:p w14:paraId="3066291F">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拒收、退还</w:t>
            </w:r>
          </w:p>
        </w:tc>
        <w:tc>
          <w:tcPr>
            <w:tcW w:w="6255" w:type="dxa"/>
            <w:noWrap w:val="0"/>
            <w:vAlign w:val="center"/>
          </w:tcPr>
          <w:p w14:paraId="3E91CEB9">
            <w:pPr>
              <w:pStyle w:val="7"/>
              <w:adjustRightInd w:val="0"/>
              <w:snapToGrid w:val="0"/>
              <w:spacing w:before="0" w:beforeAutospacing="0" w:after="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出现以下情形之一的，投标文件将被拒绝接收或予以退还：</w:t>
            </w:r>
          </w:p>
          <w:p w14:paraId="36AE6269">
            <w:pPr>
              <w:pStyle w:val="7"/>
              <w:adjustRightInd w:val="0"/>
              <w:snapToGrid w:val="0"/>
              <w:spacing w:before="0" w:beforeAutospacing="0" w:after="0"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投标文件逾期送达</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zh-CN"/>
              </w:rPr>
              <w:t>未送达指定地点</w:t>
            </w:r>
            <w:r>
              <w:rPr>
                <w:rFonts w:hint="eastAsia" w:ascii="宋体" w:hAnsi="宋体" w:eastAsia="宋体" w:cs="宋体"/>
                <w:color w:val="auto"/>
                <w:sz w:val="24"/>
                <w:szCs w:val="24"/>
                <w:highlight w:val="none"/>
              </w:rPr>
              <w:t>的，招标人将拒绝接收；</w:t>
            </w:r>
          </w:p>
          <w:p w14:paraId="602A6454">
            <w:pPr>
              <w:pStyle w:val="7"/>
              <w:adjustRightInd w:val="0"/>
              <w:snapToGrid w:val="0"/>
              <w:spacing w:before="0" w:beforeAutospacing="0" w:after="0"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（2）投标人在投标截止时间前提交撤回函的投标文件不予启封，并退还给投标人；</w:t>
            </w:r>
          </w:p>
          <w:p w14:paraId="7B7F1FF4">
            <w:pPr>
              <w:pStyle w:val="7"/>
              <w:adjustRightInd w:val="0"/>
              <w:snapToGrid w:val="0"/>
              <w:spacing w:before="0" w:beforeAutospacing="0" w:after="0"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）投标文件</w:t>
            </w:r>
            <w:r>
              <w:rPr>
                <w:rFonts w:hint="eastAsia" w:ascii="宋体" w:hAnsi="宋体" w:eastAsia="宋体" w:cs="宋体"/>
                <w:color w:val="auto"/>
                <w:sz w:val="24"/>
                <w:szCs w:val="24"/>
                <w:highlight w:val="none"/>
              </w:rPr>
              <w:t>未</w:t>
            </w:r>
            <w:r>
              <w:rPr>
                <w:rFonts w:hint="eastAsia" w:ascii="宋体" w:hAnsi="宋体" w:eastAsia="宋体" w:cs="宋体"/>
                <w:color w:val="auto"/>
                <w:sz w:val="24"/>
                <w:szCs w:val="24"/>
                <w:highlight w:val="none"/>
                <w:lang w:val="zh-CN"/>
              </w:rPr>
              <w:t>按照第4.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款要求密封和标识的，其投标文件</w:t>
            </w:r>
            <w:r>
              <w:rPr>
                <w:rFonts w:hint="eastAsia" w:ascii="宋体" w:hAnsi="宋体" w:eastAsia="宋体" w:cs="宋体"/>
                <w:color w:val="auto"/>
                <w:sz w:val="24"/>
                <w:szCs w:val="24"/>
                <w:highlight w:val="none"/>
              </w:rPr>
              <w:t>不予启封，并退还给投标人；</w:t>
            </w:r>
          </w:p>
          <w:p w14:paraId="7188F961">
            <w:pPr>
              <w:pStyle w:val="7"/>
              <w:adjustRightInd w:val="0"/>
              <w:snapToGrid w:val="0"/>
              <w:spacing w:before="0" w:beforeAutospacing="0" w:after="0" w:line="360" w:lineRule="auto"/>
              <w:ind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（4）至投标截止时间，投标人数不足</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rPr>
              <w:t>家的不得开标，招标人将投标文件退还投标人。</w:t>
            </w:r>
          </w:p>
          <w:p w14:paraId="32405B5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投标文件有下列情形之一的，视为拒收：</w:t>
            </w:r>
          </w:p>
          <w:p w14:paraId="2CCC3BA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投标文件份数不满足要求的；</w:t>
            </w:r>
          </w:p>
          <w:p w14:paraId="6CC8655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纸质投标文件不符合装订要求的</w:t>
            </w:r>
            <w:r>
              <w:rPr>
                <w:rFonts w:hint="eastAsia" w:ascii="宋体" w:hAnsi="宋体" w:eastAsia="宋体" w:cs="宋体"/>
                <w:color w:val="auto"/>
                <w:sz w:val="24"/>
                <w:szCs w:val="24"/>
                <w:highlight w:val="none"/>
                <w:lang w:eastAsia="zh-CN"/>
              </w:rPr>
              <w:t>。</w:t>
            </w:r>
          </w:p>
          <w:p w14:paraId="10052FF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3.开标后不退还投标文件</w:t>
            </w:r>
          </w:p>
        </w:tc>
      </w:tr>
      <w:tr w14:paraId="77CF9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02" w:type="dxa"/>
            <w:noWrap w:val="0"/>
            <w:vAlign w:val="center"/>
          </w:tcPr>
          <w:p w14:paraId="65C0EF33">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6.1.1</w:t>
            </w:r>
          </w:p>
        </w:tc>
        <w:tc>
          <w:tcPr>
            <w:tcW w:w="1911" w:type="dxa"/>
            <w:noWrap w:val="0"/>
            <w:vAlign w:val="center"/>
          </w:tcPr>
          <w:p w14:paraId="1084D177">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评标委员会的组建</w:t>
            </w:r>
          </w:p>
        </w:tc>
        <w:tc>
          <w:tcPr>
            <w:tcW w:w="6255" w:type="dxa"/>
            <w:noWrap w:val="0"/>
            <w:vAlign w:val="center"/>
          </w:tcPr>
          <w:p w14:paraId="61812DF0">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评标委员会由招标人依法组建，评标委员会由</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人及以上单数组成，其中招标人代表不超过三分之一。</w:t>
            </w:r>
          </w:p>
          <w:p w14:paraId="7B551A69">
            <w:pPr>
              <w:keepNext w:val="0"/>
              <w:keepLines w:val="0"/>
              <w:widowControl w:val="0"/>
              <w:suppressLineNumbers w:val="0"/>
              <w:autoSpaceDE w:val="0"/>
              <w:autoSpaceDN w:val="0"/>
              <w:adjustRightInd w:val="0"/>
              <w:snapToGrid w:val="0"/>
              <w:spacing w:before="0" w:beforeAutospacing="0" w:after="0" w:afterAutospacing="0" w:line="400" w:lineRule="exact"/>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评标委员会组成方式：由招标人代表和有关技术、经济方面的专家组成。</w:t>
            </w:r>
          </w:p>
        </w:tc>
      </w:tr>
      <w:tr w14:paraId="786F2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34082F79">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6.3.2</w:t>
            </w:r>
          </w:p>
        </w:tc>
        <w:tc>
          <w:tcPr>
            <w:tcW w:w="1911" w:type="dxa"/>
            <w:noWrap w:val="0"/>
            <w:vAlign w:val="center"/>
          </w:tcPr>
          <w:p w14:paraId="3A66496D">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评标办法</w:t>
            </w:r>
          </w:p>
          <w:p w14:paraId="34A7426B">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及否决投标条款</w:t>
            </w:r>
          </w:p>
        </w:tc>
        <w:tc>
          <w:tcPr>
            <w:tcW w:w="6255" w:type="dxa"/>
            <w:noWrap w:val="0"/>
            <w:vAlign w:val="center"/>
          </w:tcPr>
          <w:p w14:paraId="5F7B8232">
            <w:pPr>
              <w:keepNext w:val="0"/>
              <w:keepLines w:val="0"/>
              <w:suppressLineNumbers w:val="0"/>
              <w:autoSpaceDE w:val="0"/>
              <w:autoSpaceDN w:val="0"/>
              <w:adjustRightInd w:val="0"/>
              <w:snapToGrid w:val="0"/>
              <w:spacing w:before="0" w:beforeAutospacing="0" w:after="0" w:afterAutospacing="0" w:line="36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szCs w:val="24"/>
                <w:highlight w:val="none"/>
                <w:lang w:eastAsia="zh-CN"/>
              </w:rPr>
              <w:t>☑</w:t>
            </w:r>
            <w:r>
              <w:rPr>
                <w:rFonts w:hint="eastAsia" w:ascii="宋体" w:hAnsi="宋体" w:eastAsia="宋体" w:cs="宋体"/>
                <w:color w:val="auto"/>
                <w:sz w:val="24"/>
                <w:szCs w:val="24"/>
                <w:highlight w:val="none"/>
                <w:lang w:val="en-US" w:eastAsia="zh-CN"/>
              </w:rPr>
              <w:t>经评审最低价法</w:t>
            </w:r>
          </w:p>
          <w:p w14:paraId="7CE14D42">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否决投标条款：详见招标文件第四章“评标办法及评价标准”。</w:t>
            </w:r>
          </w:p>
        </w:tc>
      </w:tr>
      <w:tr w14:paraId="21EFE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0FF2960D">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6.3.3</w:t>
            </w:r>
          </w:p>
        </w:tc>
        <w:tc>
          <w:tcPr>
            <w:tcW w:w="1911" w:type="dxa"/>
            <w:noWrap w:val="0"/>
            <w:vAlign w:val="center"/>
          </w:tcPr>
          <w:p w14:paraId="47F4A0B0">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评标委员会推荐中标候选人的数量</w:t>
            </w:r>
          </w:p>
        </w:tc>
        <w:tc>
          <w:tcPr>
            <w:tcW w:w="6255" w:type="dxa"/>
            <w:noWrap w:val="0"/>
            <w:vAlign w:val="center"/>
          </w:tcPr>
          <w:p w14:paraId="50998522">
            <w:pPr>
              <w:keepNext w:val="0"/>
              <w:keepLines w:val="0"/>
              <w:suppressLineNumbers w:val="0"/>
              <w:autoSpaceDE w:val="0"/>
              <w:autoSpaceDN w:val="0"/>
              <w:snapToGrid w:val="0"/>
              <w:spacing w:before="0" w:beforeAutospacing="0" w:after="0" w:afterAutospacing="0" w:line="400" w:lineRule="exact"/>
              <w:ind w:left="0" w:leftChars="0" w:right="0"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个</w:t>
            </w:r>
            <w:r>
              <w:rPr>
                <w:rFonts w:hint="eastAsia" w:ascii="宋体" w:hAnsi="宋体" w:eastAsia="宋体" w:cs="宋体"/>
                <w:i w:val="0"/>
                <w:iCs w:val="0"/>
                <w:snapToGrid w:val="0"/>
                <w:color w:val="auto"/>
                <w:sz w:val="24"/>
                <w:szCs w:val="24"/>
                <w:highlight w:val="none"/>
                <w:lang w:eastAsia="zh-CN"/>
              </w:rPr>
              <w:t>（一般为</w:t>
            </w:r>
            <w:r>
              <w:rPr>
                <w:rFonts w:hint="eastAsia" w:ascii="宋体" w:hAnsi="宋体" w:eastAsia="宋体" w:cs="宋体"/>
                <w:i w:val="0"/>
                <w:iCs w:val="0"/>
                <w:snapToGrid w:val="0"/>
                <w:color w:val="auto"/>
                <w:sz w:val="24"/>
                <w:szCs w:val="24"/>
                <w:highlight w:val="none"/>
                <w:lang w:val="en-US" w:eastAsia="zh-CN"/>
              </w:rPr>
              <w:t>1~3</w:t>
            </w:r>
            <w:r>
              <w:rPr>
                <w:rFonts w:hint="eastAsia" w:ascii="宋体" w:hAnsi="宋体" w:eastAsia="宋体" w:cs="宋体"/>
                <w:i w:val="0"/>
                <w:iCs w:val="0"/>
                <w:snapToGrid w:val="0"/>
                <w:color w:val="auto"/>
                <w:sz w:val="24"/>
                <w:szCs w:val="24"/>
                <w:highlight w:val="none"/>
                <w:lang w:eastAsia="zh-CN"/>
              </w:rPr>
              <w:t>个）</w:t>
            </w:r>
            <w:r>
              <w:rPr>
                <w:rFonts w:hint="eastAsia" w:ascii="宋体" w:hAnsi="宋体" w:eastAsia="宋体" w:cs="宋体"/>
                <w:color w:val="auto"/>
                <w:sz w:val="24"/>
                <w:szCs w:val="24"/>
                <w:highlight w:val="none"/>
              </w:rPr>
              <w:t>。</w:t>
            </w:r>
          </w:p>
        </w:tc>
      </w:tr>
      <w:tr w14:paraId="6234F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2" w:type="dxa"/>
            <w:noWrap w:val="0"/>
            <w:vAlign w:val="center"/>
          </w:tcPr>
          <w:p w14:paraId="39763321">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8.2.1</w:t>
            </w:r>
          </w:p>
        </w:tc>
        <w:tc>
          <w:tcPr>
            <w:tcW w:w="1911" w:type="dxa"/>
            <w:noWrap w:val="0"/>
            <w:vAlign w:val="center"/>
          </w:tcPr>
          <w:p w14:paraId="63B26FFD">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履约保证金</w:t>
            </w:r>
          </w:p>
        </w:tc>
        <w:tc>
          <w:tcPr>
            <w:tcW w:w="6255" w:type="dxa"/>
            <w:noWrap w:val="0"/>
            <w:vAlign w:val="center"/>
          </w:tcPr>
          <w:p w14:paraId="57684BB2">
            <w:pPr>
              <w:pStyle w:val="45"/>
              <w:keepNext w:val="0"/>
              <w:keepLines w:val="0"/>
              <w:suppressLineNumbers w:val="0"/>
              <w:snapToGrid w:val="0"/>
              <w:spacing w:before="0" w:beforeAutospacing="0" w:after="0" w:afterAutospacing="0" w:line="32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是否要求中标人</w:t>
            </w:r>
            <w:r>
              <w:rPr>
                <w:rFonts w:hint="eastAsia" w:ascii="宋体" w:hAnsi="宋体" w:eastAsia="宋体" w:cs="宋体"/>
                <w:snapToGrid w:val="0"/>
                <w:color w:val="auto"/>
                <w:sz w:val="24"/>
                <w:szCs w:val="24"/>
                <w:highlight w:val="none"/>
                <w:lang w:val="en-US" w:eastAsia="zh-CN"/>
              </w:rPr>
              <w:t>缴纳</w:t>
            </w:r>
            <w:r>
              <w:rPr>
                <w:rFonts w:hint="eastAsia" w:ascii="宋体" w:hAnsi="宋体" w:eastAsia="宋体" w:cs="宋体"/>
                <w:snapToGrid w:val="0"/>
                <w:color w:val="auto"/>
                <w:sz w:val="24"/>
                <w:szCs w:val="24"/>
                <w:highlight w:val="none"/>
                <w:lang w:eastAsia="zh-CN"/>
              </w:rPr>
              <w:t>履约保证金：</w:t>
            </w:r>
          </w:p>
          <w:p w14:paraId="472238B3">
            <w:pPr>
              <w:pStyle w:val="45"/>
              <w:keepNext w:val="0"/>
              <w:keepLines w:val="0"/>
              <w:suppressLineNumbers w:val="0"/>
              <w:snapToGrid w:val="0"/>
              <w:spacing w:before="0" w:beforeAutospacing="0" w:after="0" w:afterAutospacing="0" w:line="320" w:lineRule="exact"/>
              <w:ind w:left="0" w:right="64" w:rightChars="20"/>
              <w:jc w:val="both"/>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 xml:space="preserve"> </w:t>
            </w:r>
            <w:r>
              <w:rPr>
                <w:rFonts w:hint="eastAsia" w:ascii="宋体" w:hAnsi="宋体" w:eastAsia="宋体" w:cs="宋体"/>
                <w:snapToGrid w:val="0"/>
                <w:color w:val="auto"/>
                <w:sz w:val="24"/>
                <w:szCs w:val="24"/>
                <w:highlight w:val="none"/>
              </w:rPr>
              <w:t>不</w:t>
            </w:r>
            <w:r>
              <w:rPr>
                <w:rFonts w:hint="eastAsia" w:ascii="宋体" w:hAnsi="宋体" w:eastAsia="宋体" w:cs="宋体"/>
                <w:snapToGrid w:val="0"/>
                <w:color w:val="auto"/>
                <w:sz w:val="24"/>
                <w:szCs w:val="24"/>
                <w:highlight w:val="none"/>
                <w:lang w:eastAsia="zh-CN"/>
              </w:rPr>
              <w:t>要求</w:t>
            </w:r>
          </w:p>
          <w:p w14:paraId="6DD31051">
            <w:pPr>
              <w:pStyle w:val="45"/>
              <w:keepNext w:val="0"/>
              <w:keepLines w:val="0"/>
              <w:suppressLineNumbers w:val="0"/>
              <w:snapToGrid w:val="0"/>
              <w:spacing w:before="0" w:beforeAutospacing="0" w:after="0" w:afterAutospacing="0" w:line="320" w:lineRule="exact"/>
              <w:ind w:left="0" w:right="64" w:rightChars="20"/>
              <w:jc w:val="both"/>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snapToGrid w:val="0"/>
                <w:color w:val="auto"/>
                <w:sz w:val="24"/>
                <w:szCs w:val="24"/>
                <w:highlight w:val="none"/>
              </w:rPr>
              <w:t>要求</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具体如下</w:t>
            </w:r>
          </w:p>
          <w:p w14:paraId="5E7A1832">
            <w:pPr>
              <w:pStyle w:val="46"/>
              <w:snapToGrid w:val="0"/>
              <w:spacing w:before="0" w:beforeAutospacing="0" w:after="0" w:line="320" w:lineRule="exact"/>
              <w:ind w:left="0" w:right="0"/>
              <w:jc w:val="left"/>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rPr>
              <w:t>1、履约保证金缴纳信息：金额：</w:t>
            </w:r>
            <w:r>
              <w:rPr>
                <w:rFonts w:hint="eastAsia" w:ascii="宋体" w:hAnsi="宋体" w:cs="宋体"/>
                <w:b w:val="0"/>
                <w:bCs w:val="0"/>
                <w:color w:val="auto"/>
                <w:kern w:val="2"/>
                <w:sz w:val="24"/>
                <w:szCs w:val="24"/>
                <w:highlight w:val="none"/>
                <w:lang w:val="en-US" w:eastAsia="zh-CN"/>
              </w:rPr>
              <w:t>约</w:t>
            </w:r>
            <w:r>
              <w:rPr>
                <w:rFonts w:hint="eastAsia" w:ascii="宋体" w:hAnsi="宋体" w:eastAsia="宋体" w:cs="宋体"/>
                <w:b w:val="0"/>
                <w:bCs w:val="0"/>
                <w:color w:val="auto"/>
                <w:kern w:val="2"/>
                <w:sz w:val="24"/>
                <w:szCs w:val="24"/>
                <w:highlight w:val="none"/>
                <w:u w:val="single"/>
                <w:lang w:val="en-US" w:eastAsia="zh-CN"/>
              </w:rPr>
              <w:t>合同价的5%</w:t>
            </w:r>
          </w:p>
          <w:p w14:paraId="245B5756">
            <w:pPr>
              <w:pStyle w:val="46"/>
              <w:snapToGrid w:val="0"/>
              <w:spacing w:before="0" w:beforeAutospacing="0" w:after="0" w:line="320" w:lineRule="exact"/>
              <w:ind w:left="0" w:right="0"/>
              <w:jc w:val="left"/>
              <w:rPr>
                <w:rFonts w:hint="eastAsia"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rPr>
              <w:t>分别向三家采购人缴纳。</w:t>
            </w:r>
          </w:p>
          <w:p w14:paraId="22DF5B14">
            <w:pPr>
              <w:pStyle w:val="46"/>
              <w:snapToGrid w:val="0"/>
              <w:spacing w:before="0" w:beforeAutospacing="0" w:after="0" w:line="320" w:lineRule="exact"/>
              <w:ind w:left="0" w:right="0"/>
              <w:jc w:val="left"/>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rPr>
              <w:t>缴纳形式：支票/汇票/电汇/转账</w:t>
            </w:r>
            <w:r>
              <w:rPr>
                <w:rFonts w:hint="eastAsia" w:ascii="宋体" w:hAnsi="宋体" w:eastAsia="宋体" w:cs="宋体"/>
                <w:b w:val="0"/>
                <w:bCs w:val="0"/>
                <w:color w:val="auto"/>
                <w:kern w:val="2"/>
                <w:sz w:val="24"/>
                <w:szCs w:val="24"/>
                <w:highlight w:val="none"/>
                <w:lang w:val="en-US" w:eastAsia="zh-CN"/>
              </w:rPr>
              <w:t>。</w:t>
            </w:r>
          </w:p>
          <w:p w14:paraId="05CCA334">
            <w:pPr>
              <w:keepNext w:val="0"/>
              <w:keepLines w:val="0"/>
              <w:suppressLineNumbers w:val="0"/>
              <w:spacing w:before="0" w:beforeAutospacing="0" w:after="0" w:afterAutospacing="0" w:line="320" w:lineRule="exact"/>
              <w:ind w:left="0" w:right="0"/>
              <w:contextualSpacing/>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rPr>
              <w:t>缴纳时间：中标通知书领取之后，合同签订之前</w:t>
            </w:r>
            <w:r>
              <w:rPr>
                <w:rFonts w:hint="eastAsia" w:ascii="宋体" w:hAnsi="宋体" w:eastAsia="宋体" w:cs="宋体"/>
                <w:b w:val="0"/>
                <w:bCs w:val="0"/>
                <w:color w:val="auto"/>
                <w:kern w:val="2"/>
                <w:sz w:val="24"/>
                <w:szCs w:val="24"/>
                <w:highlight w:val="none"/>
                <w:lang w:val="en-US" w:eastAsia="zh-CN"/>
              </w:rPr>
              <w:t>。</w:t>
            </w:r>
          </w:p>
          <w:p w14:paraId="409FB18C">
            <w:pPr>
              <w:pStyle w:val="22"/>
              <w:ind w:firstLine="0" w:firstLineChars="0"/>
              <w:rPr>
                <w:rFonts w:hint="eastAsia" w:ascii="宋体" w:hAnsi="宋体" w:eastAsia="宋体" w:cs="宋体"/>
                <w:b w:val="0"/>
                <w:bCs w:val="0"/>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rPr>
              <w:t>退还时间：履约保证金在合同履行结束且质保期限届满，并扣除乙方违约金额（如有），经乙方申请后1个月内无息退还余额，但发生本合同约定的甲方有权不予退还履约保证金的情形除外。</w:t>
            </w:r>
          </w:p>
          <w:p w14:paraId="624C1F95">
            <w:pPr>
              <w:pStyle w:val="46"/>
              <w:snapToGrid w:val="0"/>
              <w:spacing w:before="0" w:beforeAutospacing="0" w:after="0" w:line="320" w:lineRule="exact"/>
              <w:ind w:left="0" w:right="0"/>
              <w:jc w:val="left"/>
              <w:rPr>
                <w:rFonts w:hint="eastAsia" w:ascii="宋体" w:hAnsi="宋体" w:eastAsia="宋体" w:cs="宋体"/>
                <w:b w:val="0"/>
                <w:bCs w:val="0"/>
                <w:color w:val="auto"/>
                <w:kern w:val="2"/>
                <w:sz w:val="24"/>
                <w:szCs w:val="24"/>
                <w:highlight w:val="none"/>
                <w:lang w:val="en-US"/>
              </w:rPr>
            </w:pPr>
            <w:r>
              <w:rPr>
                <w:rFonts w:hint="eastAsia" w:ascii="宋体" w:hAnsi="宋体" w:eastAsia="宋体" w:cs="宋体"/>
                <w:b w:val="0"/>
                <w:bCs w:val="0"/>
                <w:color w:val="auto"/>
                <w:kern w:val="2"/>
                <w:sz w:val="24"/>
                <w:szCs w:val="24"/>
                <w:highlight w:val="none"/>
                <w:lang w:val="en-US"/>
              </w:rPr>
              <w:t>2、其他说明：</w:t>
            </w:r>
          </w:p>
          <w:p w14:paraId="5B312D51">
            <w:pPr>
              <w:keepNext w:val="0"/>
              <w:keepLines w:val="0"/>
              <w:suppressLineNumbers w:val="0"/>
              <w:autoSpaceDE w:val="0"/>
              <w:autoSpaceDN w:val="0"/>
              <w:adjustRightInd w:val="0"/>
              <w:snapToGrid w:val="0"/>
              <w:spacing w:before="0" w:beforeAutospacing="0" w:after="0" w:afterAutospacing="0" w:line="320" w:lineRule="exact"/>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投标人在履约保证金缴纳时必须注明项目名称和招标编号。</w:t>
            </w:r>
          </w:p>
          <w:p w14:paraId="61229496">
            <w:pPr>
              <w:keepNext w:val="0"/>
              <w:keepLines w:val="0"/>
              <w:suppressLineNumbers w:val="0"/>
              <w:autoSpaceDE w:val="0"/>
              <w:autoSpaceDN w:val="0"/>
              <w:adjustRightInd w:val="0"/>
              <w:snapToGrid w:val="0"/>
              <w:spacing w:before="0" w:beforeAutospacing="0" w:after="0" w:afterAutospacing="0" w:line="320" w:lineRule="exact"/>
              <w:ind w:left="0" w:right="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应将履约保证金的汇款或转账凭证在收到中标通知书后，合同签订前提交招标人。如超出期限未缴纳的，招标人将视其拒绝履行投标承诺，招标人有权单方取消其中标资格，并罚没其投标保证金。招标人还有权将其列入供应商不良行为记录名单（即黑名单），取消其被列入名单后二年内在招标人及其下属全资、控股企业的任何招标或采购中的供应商资格。</w:t>
            </w:r>
          </w:p>
        </w:tc>
      </w:tr>
      <w:tr w14:paraId="16F32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noWrap w:val="0"/>
            <w:vAlign w:val="center"/>
          </w:tcPr>
          <w:p w14:paraId="49E188B3">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4"/>
                <w:szCs w:val="24"/>
                <w:highlight w:val="none"/>
                <w:lang w:val="en-US" w:eastAsia="zh-CN"/>
              </w:rPr>
            </w:pPr>
            <w:r>
              <w:rPr>
                <w:rFonts w:hint="eastAsia" w:ascii="宋体" w:hAnsi="宋体" w:eastAsia="宋体" w:cs="宋体"/>
                <w:b/>
                <w:snapToGrid w:val="0"/>
                <w:color w:val="auto"/>
                <w:kern w:val="0"/>
                <w:sz w:val="24"/>
                <w:szCs w:val="24"/>
                <w:highlight w:val="none"/>
              </w:rPr>
              <w:t>11.1</w:t>
            </w:r>
          </w:p>
        </w:tc>
        <w:tc>
          <w:tcPr>
            <w:tcW w:w="8166" w:type="dxa"/>
            <w:gridSpan w:val="2"/>
            <w:noWrap w:val="0"/>
            <w:vAlign w:val="center"/>
          </w:tcPr>
          <w:p w14:paraId="208899A3">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需要补充的其他内容</w:t>
            </w:r>
          </w:p>
        </w:tc>
      </w:tr>
      <w:tr w14:paraId="11464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02" w:type="dxa"/>
            <w:noWrap w:val="0"/>
            <w:vAlign w:val="center"/>
          </w:tcPr>
          <w:p w14:paraId="2ABA60CD">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11.1.1</w:t>
            </w:r>
          </w:p>
        </w:tc>
        <w:tc>
          <w:tcPr>
            <w:tcW w:w="1911" w:type="dxa"/>
            <w:noWrap w:val="0"/>
            <w:vAlign w:val="center"/>
          </w:tcPr>
          <w:p w14:paraId="0DB092F0">
            <w:pPr>
              <w:keepNext w:val="0"/>
              <w:keepLines w:val="0"/>
              <w:suppressLineNumbers w:val="0"/>
              <w:autoSpaceDE w:val="0"/>
              <w:autoSpaceDN w:val="0"/>
              <w:adjustRightInd w:val="0"/>
              <w:snapToGrid w:val="0"/>
              <w:spacing w:before="0" w:beforeAutospacing="0" w:after="0" w:afterAutospacing="0" w:line="400" w:lineRule="exact"/>
              <w:ind w:left="0" w:right="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p>
        </w:tc>
        <w:tc>
          <w:tcPr>
            <w:tcW w:w="6255" w:type="dxa"/>
            <w:noWrap w:val="0"/>
            <w:vAlign w:val="center"/>
          </w:tcPr>
          <w:p w14:paraId="2DE2CC96">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本招标文件由招标人负责解释。</w:t>
            </w:r>
          </w:p>
          <w:p w14:paraId="40458CC6">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投标人须知内容和本前附表内容不一致的，以本前附表中所载内容为准。</w:t>
            </w:r>
          </w:p>
          <w:p w14:paraId="47DD8A09">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发现招标文件及其评标办法中存在含糊不清、相互矛盾、多种含义以及歧视性不公正条款或违法违规内容时，请在投标人须知2.3.1项规定的提出问题截止时间前同时向招标人或招标代理机构以指定的书面形式反映，逾期不再受理对招标文件条款提出的问题。</w:t>
            </w:r>
          </w:p>
          <w:p w14:paraId="6ABF6913">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）招标文件中打▲符号的条款为实质性条款，不满足的按无效标处理。</w:t>
            </w:r>
          </w:p>
          <w:p w14:paraId="40F3E950">
            <w:pPr>
              <w:keepNext w:val="0"/>
              <w:keepLines w:val="0"/>
              <w:suppressLineNumbers w:val="0"/>
              <w:autoSpaceDE w:val="0"/>
              <w:autoSpaceDN w:val="0"/>
              <w:adjustRightInd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）招标人认为需要补充的其他内容：（1）本项目招标人为杭州市环境集团有限公司，最终由三家采购人（</w:t>
            </w:r>
            <w:r>
              <w:rPr>
                <w:rFonts w:hint="eastAsia" w:ascii="宋体" w:hAnsi="宋体" w:eastAsia="宋体" w:cs="宋体"/>
                <w:color w:val="auto"/>
                <w:sz w:val="24"/>
                <w:szCs w:val="24"/>
                <w:highlight w:val="none"/>
                <w:lang w:val="en-US" w:eastAsia="zh-CN"/>
              </w:rPr>
              <w:t>杭州市环境集团有限公司、杭州萧山环城生物能源有限公司、杭州环临环境发展有限公司</w:t>
            </w:r>
            <w:r>
              <w:rPr>
                <w:rFonts w:hint="eastAsia" w:ascii="宋体" w:hAnsi="宋体" w:eastAsia="宋体" w:cs="宋体"/>
                <w:color w:val="auto"/>
                <w:sz w:val="24"/>
                <w:szCs w:val="24"/>
                <w:highlight w:val="none"/>
              </w:rPr>
              <w:t>）与中标人分别签订合同；</w:t>
            </w:r>
          </w:p>
        </w:tc>
      </w:tr>
    </w:tbl>
    <w:p w14:paraId="0105C5D2">
      <w:pPr>
        <w:rPr>
          <w:rFonts w:hint="eastAsia" w:ascii="宋体" w:hAnsi="宋体" w:eastAsia="宋体" w:cs="宋体"/>
          <w:b/>
          <w:color w:val="auto"/>
          <w:sz w:val="28"/>
          <w:szCs w:val="28"/>
          <w:highlight w:val="none"/>
        </w:rPr>
      </w:pPr>
    </w:p>
    <w:p w14:paraId="0B5D058C">
      <w:pPr>
        <w:pStyle w:val="16"/>
        <w:rPr>
          <w:rFonts w:hint="eastAsia" w:ascii="宋体" w:hAnsi="宋体" w:eastAsia="宋体" w:cs="宋体"/>
          <w:b/>
          <w:color w:val="auto"/>
          <w:sz w:val="28"/>
          <w:szCs w:val="28"/>
          <w:highlight w:val="none"/>
        </w:rPr>
      </w:pPr>
    </w:p>
    <w:p w14:paraId="5BEF5D38">
      <w:pPr>
        <w:spacing w:before="0" w:beforeLines="-2147483648" w:after="0" w:afterLines="-2147483648" w:line="240" w:lineRule="auto"/>
        <w:jc w:val="left"/>
        <w:rPr>
          <w:rStyle w:val="42"/>
          <w:rFonts w:hint="eastAsia" w:ascii="宋体" w:hAnsi="宋体" w:eastAsia="宋体" w:cs="宋体"/>
          <w:color w:val="auto"/>
          <w:kern w:val="0"/>
          <w:szCs w:val="20"/>
          <w:highlight w:val="none"/>
        </w:rPr>
      </w:pPr>
      <w:r>
        <w:rPr>
          <w:rStyle w:val="42"/>
          <w:rFonts w:hint="eastAsia" w:ascii="宋体" w:hAnsi="宋体" w:eastAsia="宋体" w:cs="宋体"/>
          <w:color w:val="auto"/>
          <w:kern w:val="0"/>
          <w:szCs w:val="20"/>
          <w:highlight w:val="none"/>
        </w:rPr>
        <w:br w:type="page"/>
      </w:r>
    </w:p>
    <w:p w14:paraId="7313FA2A">
      <w:pPr>
        <w:snapToGrid w:val="0"/>
        <w:spacing w:line="360" w:lineRule="auto"/>
        <w:jc w:val="center"/>
        <w:outlineLvl w:val="1"/>
        <w:rPr>
          <w:rFonts w:hint="eastAsia" w:ascii="宋体" w:hAnsi="宋体" w:eastAsia="宋体" w:cs="宋体"/>
          <w:b/>
          <w:snapToGrid w:val="0"/>
          <w:color w:val="auto"/>
          <w:kern w:val="0"/>
          <w:sz w:val="24"/>
          <w:szCs w:val="24"/>
          <w:highlight w:val="none"/>
        </w:rPr>
      </w:pPr>
      <w:bookmarkStart w:id="4" w:name="_Toc83886015"/>
      <w:bookmarkStart w:id="5" w:name="_Toc32085"/>
      <w:r>
        <w:rPr>
          <w:rFonts w:hint="eastAsia" w:ascii="宋体" w:hAnsi="宋体" w:eastAsia="宋体" w:cs="宋体"/>
          <w:b/>
          <w:snapToGrid w:val="0"/>
          <w:color w:val="auto"/>
          <w:kern w:val="0"/>
          <w:sz w:val="24"/>
          <w:szCs w:val="24"/>
          <w:highlight w:val="none"/>
        </w:rPr>
        <w:t>1、总则</w:t>
      </w:r>
      <w:bookmarkEnd w:id="4"/>
      <w:bookmarkEnd w:id="5"/>
    </w:p>
    <w:p w14:paraId="71975F47">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6" w:name="_Toc26216"/>
      <w:r>
        <w:rPr>
          <w:rFonts w:hint="eastAsia" w:ascii="宋体" w:hAnsi="宋体" w:eastAsia="宋体" w:cs="宋体"/>
          <w:b/>
          <w:bCs/>
          <w:snapToGrid w:val="0"/>
          <w:color w:val="auto"/>
          <w:kern w:val="0"/>
          <w:sz w:val="24"/>
          <w:szCs w:val="24"/>
          <w:highlight w:val="none"/>
        </w:rPr>
        <w:t>1.1项目</w:t>
      </w:r>
      <w:bookmarkEnd w:id="6"/>
      <w:r>
        <w:rPr>
          <w:rFonts w:hint="eastAsia" w:ascii="宋体" w:hAnsi="宋体" w:eastAsia="宋体" w:cs="宋体"/>
          <w:b/>
          <w:bCs/>
          <w:snapToGrid w:val="0"/>
          <w:color w:val="auto"/>
          <w:kern w:val="0"/>
          <w:sz w:val="24"/>
          <w:szCs w:val="24"/>
          <w:highlight w:val="none"/>
        </w:rPr>
        <w:t>说明</w:t>
      </w:r>
    </w:p>
    <w:p w14:paraId="194C1372">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u w:val="single"/>
        </w:rPr>
      </w:pPr>
      <w:bookmarkStart w:id="7" w:name="_Toc6246"/>
      <w:r>
        <w:rPr>
          <w:rFonts w:hint="eastAsia" w:ascii="宋体" w:hAnsi="宋体" w:eastAsia="宋体" w:cs="宋体"/>
          <w:snapToGrid w:val="0"/>
          <w:color w:val="auto"/>
          <w:kern w:val="0"/>
          <w:sz w:val="24"/>
          <w:szCs w:val="24"/>
          <w:highlight w:val="none"/>
        </w:rPr>
        <w:t>1.1.1本项目招标适用以下规定：《中华人民共和国招标投标法》、《中华人民共和国招标投标法实施条例》。</w:t>
      </w:r>
    </w:p>
    <w:bookmarkEnd w:id="7"/>
    <w:p w14:paraId="0B24B984">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u w:val="single"/>
        </w:rPr>
      </w:pPr>
      <w:bookmarkStart w:id="8" w:name="_Toc9136"/>
      <w:r>
        <w:rPr>
          <w:rFonts w:hint="eastAsia" w:ascii="宋体" w:hAnsi="宋体" w:eastAsia="宋体" w:cs="宋体"/>
          <w:snapToGrid w:val="0"/>
          <w:color w:val="auto"/>
          <w:kern w:val="0"/>
          <w:sz w:val="24"/>
          <w:szCs w:val="24"/>
          <w:highlight w:val="none"/>
        </w:rPr>
        <w:t>1.1.2招标组织形式：见投标人须知前附表。</w:t>
      </w:r>
    </w:p>
    <w:p w14:paraId="4FE2F603">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1.1.3招标人：</w:t>
      </w:r>
      <w:r>
        <w:rPr>
          <w:rFonts w:hint="eastAsia" w:ascii="宋体" w:hAnsi="宋体" w:eastAsia="宋体" w:cs="宋体"/>
          <w:snapToGrid w:val="0"/>
          <w:color w:val="auto"/>
          <w:kern w:val="0"/>
          <w:sz w:val="24"/>
          <w:szCs w:val="24"/>
          <w:highlight w:val="none"/>
          <w:lang w:val="en-US" w:eastAsia="zh-CN"/>
        </w:rPr>
        <w:t>提出招标项目、进行招标的法人或者其他组织。</w:t>
      </w:r>
      <w:r>
        <w:rPr>
          <w:rFonts w:hint="eastAsia" w:ascii="宋体" w:hAnsi="宋体" w:eastAsia="宋体" w:cs="宋体"/>
          <w:snapToGrid w:val="0"/>
          <w:color w:val="auto"/>
          <w:kern w:val="0"/>
          <w:sz w:val="24"/>
          <w:szCs w:val="24"/>
          <w:highlight w:val="none"/>
        </w:rPr>
        <w:t>见投标人须知前附表。</w:t>
      </w:r>
    </w:p>
    <w:p w14:paraId="3265738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采购人：即业主，是合同中明确规定的实际购买货物和服务的法人或其他组织和自然人。见投标人须知前附表。</w:t>
      </w:r>
    </w:p>
    <w:p w14:paraId="708340D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1.1.5</w:t>
      </w:r>
      <w:r>
        <w:rPr>
          <w:rFonts w:hint="eastAsia" w:ascii="宋体" w:hAnsi="宋体" w:eastAsia="宋体" w:cs="宋体"/>
          <w:snapToGrid w:val="0"/>
          <w:color w:val="auto"/>
          <w:kern w:val="0"/>
          <w:sz w:val="24"/>
          <w:szCs w:val="24"/>
          <w:highlight w:val="none"/>
        </w:rPr>
        <w:t>招标代理机构：见投标人须知前附表。</w:t>
      </w:r>
    </w:p>
    <w:p w14:paraId="05AA7507">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1.1.6</w:t>
      </w:r>
      <w:r>
        <w:rPr>
          <w:rFonts w:hint="eastAsia" w:ascii="宋体" w:hAnsi="宋体" w:eastAsia="宋体" w:cs="宋体"/>
          <w:snapToGrid w:val="0"/>
          <w:color w:val="auto"/>
          <w:kern w:val="0"/>
          <w:sz w:val="24"/>
          <w:szCs w:val="24"/>
          <w:highlight w:val="none"/>
        </w:rPr>
        <w:t>项目概况：见投标人须知前附表。</w:t>
      </w:r>
    </w:p>
    <w:p w14:paraId="5EDF9A61">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1.2资金来源</w:t>
      </w:r>
      <w:bookmarkEnd w:id="8"/>
      <w:r>
        <w:rPr>
          <w:rFonts w:hint="eastAsia" w:ascii="宋体" w:hAnsi="宋体" w:eastAsia="宋体" w:cs="宋体"/>
          <w:b/>
          <w:bCs/>
          <w:snapToGrid w:val="0"/>
          <w:color w:val="auto"/>
          <w:kern w:val="0"/>
          <w:sz w:val="24"/>
          <w:szCs w:val="24"/>
          <w:highlight w:val="none"/>
        </w:rPr>
        <w:t>和落实情况</w:t>
      </w:r>
    </w:p>
    <w:p w14:paraId="2A977F0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bookmarkStart w:id="9" w:name="_Toc10673"/>
      <w:r>
        <w:rPr>
          <w:rFonts w:hint="eastAsia" w:ascii="宋体" w:hAnsi="宋体" w:eastAsia="宋体" w:cs="宋体"/>
          <w:snapToGrid w:val="0"/>
          <w:color w:val="auto"/>
          <w:kern w:val="0"/>
          <w:sz w:val="24"/>
          <w:szCs w:val="24"/>
          <w:highlight w:val="none"/>
        </w:rPr>
        <w:t>1.2.1资金来源及落实情况：见投标人须知前附表。</w:t>
      </w:r>
    </w:p>
    <w:p w14:paraId="462E73E6">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1.3招标范围及内容</w:t>
      </w:r>
    </w:p>
    <w:p w14:paraId="06BBAA07">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1.3.1招标范围及内容：见投标人须知前附表。</w:t>
      </w:r>
    </w:p>
    <w:bookmarkEnd w:id="9"/>
    <w:p w14:paraId="1D2EC18F">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10" w:name="_Toc13012"/>
      <w:r>
        <w:rPr>
          <w:rFonts w:hint="eastAsia" w:ascii="宋体" w:hAnsi="宋体" w:eastAsia="宋体" w:cs="宋体"/>
          <w:b/>
          <w:bCs/>
          <w:snapToGrid w:val="0"/>
          <w:color w:val="auto"/>
          <w:kern w:val="0"/>
          <w:sz w:val="24"/>
          <w:szCs w:val="24"/>
          <w:highlight w:val="none"/>
        </w:rPr>
        <w:t>1.4投标人</w:t>
      </w:r>
      <w:bookmarkEnd w:id="10"/>
      <w:r>
        <w:rPr>
          <w:rFonts w:hint="eastAsia" w:ascii="宋体" w:hAnsi="宋体" w:eastAsia="宋体" w:cs="宋体"/>
          <w:b/>
          <w:bCs/>
          <w:snapToGrid w:val="0"/>
          <w:color w:val="auto"/>
          <w:kern w:val="0"/>
          <w:sz w:val="24"/>
          <w:szCs w:val="24"/>
          <w:highlight w:val="none"/>
        </w:rPr>
        <w:t>资格审查方式、资格条件</w:t>
      </w:r>
    </w:p>
    <w:p w14:paraId="3AB11C07">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1.4.1投标人资格审查方式：见投标人须知前附表。</w:t>
      </w:r>
    </w:p>
    <w:p w14:paraId="421BCB57">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1.4.2投标人资格条件：见投标人须知前附表。</w:t>
      </w:r>
    </w:p>
    <w:p w14:paraId="1D043421">
      <w:pPr>
        <w:adjustRightInd w:val="0"/>
        <w:snapToGrid w:val="0"/>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1.5联合体投标</w:t>
      </w:r>
    </w:p>
    <w:p w14:paraId="10651685">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1.5.1本项目是否接受联合体投标：见投标人须知前附表。</w:t>
      </w:r>
    </w:p>
    <w:p w14:paraId="33E79F0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1.5.2投标人须知前附表规定接受联合体投标的，联合体应满足以下要求：</w:t>
      </w:r>
    </w:p>
    <w:p w14:paraId="67258840">
      <w:pPr>
        <w:pStyle w:val="19"/>
        <w:adjustRightInd w:val="0"/>
        <w:snapToGrid w:val="0"/>
        <w:spacing w:before="0" w:beforeAutospacing="0" w:after="0" w:afterAutospacing="0" w:line="360" w:lineRule="auto"/>
        <w:ind w:left="160" w:leftChars="50" w:firstLine="360" w:firstLineChars="15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1）符合《中华人民共和国招标投标法》、《中华人民共和国招标投标法实施条例》的规定；</w:t>
      </w:r>
    </w:p>
    <w:p w14:paraId="1F9D05A5">
      <w:pPr>
        <w:pStyle w:val="19"/>
        <w:adjustRightInd w:val="0"/>
        <w:snapToGrid w:val="0"/>
        <w:spacing w:before="0" w:beforeAutospacing="0" w:after="0" w:afterAutospacing="0" w:line="360" w:lineRule="auto"/>
        <w:ind w:left="160" w:leftChars="50" w:firstLine="360" w:firstLineChars="15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2）以联合体形式参加投标的，应当提交联合体协议，指定牵头人并出具由联合体成员各方共同签署的投标授权书；</w:t>
      </w:r>
    </w:p>
    <w:p w14:paraId="02438ED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3）除非另有规定或说明，本招标文件中“投标人”一词亦指联合体各成员。</w:t>
      </w:r>
    </w:p>
    <w:p w14:paraId="6DF1D608">
      <w:pPr>
        <w:adjustRightInd w:val="0"/>
        <w:snapToGrid w:val="0"/>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1.6关联性投标</w:t>
      </w:r>
    </w:p>
    <w:p w14:paraId="5E9A47A4">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1.6.1项目关联性投标要求：见投标人须知前附表。</w:t>
      </w:r>
    </w:p>
    <w:p w14:paraId="0E89343E">
      <w:pPr>
        <w:adjustRightInd w:val="0"/>
        <w:snapToGrid w:val="0"/>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1.7分包</w:t>
      </w:r>
    </w:p>
    <w:p w14:paraId="4D9C2DD1">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1.7.1本项目是否允许分包：见投标人须知前附表。</w:t>
      </w:r>
    </w:p>
    <w:p w14:paraId="0B724463">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1.7.2投标人拟在中标后将中标项目的非主体、非关键部分工作进行分包的，应满足以下要求：</w:t>
      </w:r>
    </w:p>
    <w:p w14:paraId="373AD3E6">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1）符合投标人须知前附表规定的分包内容、分包金额要求，除投标人须知前附表规定的非主体、非关键部分工作外，其他工作不得分包。</w:t>
      </w:r>
    </w:p>
    <w:p w14:paraId="285494FF">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2）接受分包一方应当具备相应的资格条件，并不得再次分包。中标人应当就分包内容向招标人负责，接受分包一方就分包内容承担连带责任。</w:t>
      </w:r>
    </w:p>
    <w:p w14:paraId="1A879CF2">
      <w:pPr>
        <w:adjustRightInd w:val="0"/>
        <w:snapToGrid w:val="0"/>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1.8响应和偏差</w:t>
      </w:r>
    </w:p>
    <w:p w14:paraId="5A0333C4">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1.8.1投标文件应当对招标文件中的实质性要求和条件（属于实质性要求条款的，是指在第三章“</w:t>
      </w:r>
      <w:r>
        <w:rPr>
          <w:rFonts w:hint="eastAsia" w:ascii="宋体" w:hAnsi="宋体" w:eastAsia="宋体" w:cs="宋体"/>
          <w:snapToGrid w:val="0"/>
          <w:color w:val="auto"/>
          <w:kern w:val="0"/>
          <w:sz w:val="24"/>
          <w:szCs w:val="24"/>
          <w:highlight w:val="none"/>
          <w:lang w:eastAsia="zh-CN"/>
        </w:rPr>
        <w:t>用户需求及技术要求</w:t>
      </w:r>
      <w:r>
        <w:rPr>
          <w:rFonts w:hint="eastAsia" w:ascii="宋体" w:hAnsi="宋体" w:eastAsia="宋体" w:cs="宋体"/>
          <w:snapToGrid w:val="0"/>
          <w:color w:val="auto"/>
          <w:kern w:val="0"/>
          <w:sz w:val="24"/>
          <w:szCs w:val="24"/>
          <w:highlight w:val="none"/>
        </w:rPr>
        <w:t>”中用符号“▲”标注或列入第四章“评标方法及评价标准”中否决投标的全部条款，否则属于非实质性要求条款，下同。）作出满足性或更有利于招标人的明确响应。</w:t>
      </w:r>
    </w:p>
    <w:p w14:paraId="78C20688">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1.8.2投标文件对招标文件的全部偏差，均应在投标文件的商务和技术偏离表中列明，除列明的内容外，视为投标人响应招标文件的全部要求。</w:t>
      </w:r>
    </w:p>
    <w:p w14:paraId="3C49095F">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1.8.3评标委员会根据招标文件第四章“评标方法及评价标准”全面衡量投标人技术、资信、商务或其他存在不满足、不符合招标要求的偏差及对招标文件的响应情况，以确定其是否满足招标文件的实质性要求。</w:t>
      </w:r>
    </w:p>
    <w:p w14:paraId="21FDD975">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11" w:name="_Toc3996"/>
      <w:r>
        <w:rPr>
          <w:rFonts w:hint="eastAsia" w:ascii="宋体" w:hAnsi="宋体" w:eastAsia="宋体" w:cs="宋体"/>
          <w:b/>
          <w:bCs/>
          <w:snapToGrid w:val="0"/>
          <w:color w:val="auto"/>
          <w:kern w:val="0"/>
          <w:sz w:val="24"/>
          <w:szCs w:val="24"/>
          <w:highlight w:val="none"/>
        </w:rPr>
        <w:t>1.</w:t>
      </w:r>
      <w:bookmarkEnd w:id="11"/>
      <w:r>
        <w:rPr>
          <w:rFonts w:hint="eastAsia" w:ascii="宋体" w:hAnsi="宋体" w:eastAsia="宋体" w:cs="宋体"/>
          <w:b/>
          <w:bCs/>
          <w:snapToGrid w:val="0"/>
          <w:color w:val="auto"/>
          <w:kern w:val="0"/>
          <w:sz w:val="24"/>
          <w:szCs w:val="24"/>
          <w:highlight w:val="none"/>
        </w:rPr>
        <w:t>9投标费用</w:t>
      </w:r>
    </w:p>
    <w:p w14:paraId="64BAD780">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1.9.1投标人在投标过程中的一切费用，不论中标与否，均由投标人自理。</w:t>
      </w:r>
    </w:p>
    <w:p w14:paraId="6C0A1608">
      <w:pPr>
        <w:pStyle w:val="4"/>
        <w:rPr>
          <w:rFonts w:hint="eastAsia" w:ascii="宋体" w:hAnsi="宋体" w:eastAsia="宋体" w:cs="宋体"/>
          <w:snapToGrid w:val="0"/>
          <w:color w:val="auto"/>
          <w:sz w:val="24"/>
          <w:szCs w:val="24"/>
          <w:highlight w:val="none"/>
        </w:rPr>
      </w:pPr>
      <w:bookmarkStart w:id="12" w:name="_Toc246996924"/>
      <w:bookmarkStart w:id="13" w:name="_Toc179632553"/>
      <w:bookmarkStart w:id="14" w:name="_Toc144974504"/>
      <w:bookmarkStart w:id="15" w:name="_Toc152045536"/>
      <w:bookmarkStart w:id="16" w:name="_Toc247085695"/>
      <w:bookmarkStart w:id="17" w:name="_Toc246996181"/>
      <w:bookmarkStart w:id="18" w:name="_Toc152042312"/>
      <w:bookmarkStart w:id="19" w:name="_Toc296602426"/>
      <w:r>
        <w:rPr>
          <w:rFonts w:hint="eastAsia" w:ascii="宋体" w:hAnsi="宋体" w:eastAsia="宋体" w:cs="宋体"/>
          <w:snapToGrid w:val="0"/>
          <w:color w:val="auto"/>
          <w:sz w:val="24"/>
          <w:szCs w:val="24"/>
          <w:highlight w:val="none"/>
        </w:rPr>
        <w:t>1.10保密</w:t>
      </w:r>
      <w:bookmarkEnd w:id="12"/>
      <w:bookmarkEnd w:id="13"/>
      <w:bookmarkEnd w:id="14"/>
      <w:bookmarkEnd w:id="15"/>
      <w:bookmarkEnd w:id="16"/>
      <w:bookmarkEnd w:id="17"/>
      <w:bookmarkEnd w:id="18"/>
      <w:bookmarkEnd w:id="19"/>
    </w:p>
    <w:p w14:paraId="6A296416">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1.10.1参加招标投标活动的各方应对招投标过程中应当保密的信息资料及招标文件、投标文件中的商业和技术秘密保密，否则应承担相应的法律责任。</w:t>
      </w:r>
    </w:p>
    <w:p w14:paraId="4C6A0EF0">
      <w:pPr>
        <w:pStyle w:val="4"/>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1.11语言文字</w:t>
      </w:r>
    </w:p>
    <w:p w14:paraId="5A2DB97B">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1.11.1招标投标文件使用的语言文字为中文。专用术语使用外文的，应附有中文注释。</w:t>
      </w:r>
    </w:p>
    <w:p w14:paraId="0E18BDC0">
      <w:pPr>
        <w:pStyle w:val="4"/>
        <w:rPr>
          <w:rFonts w:hint="eastAsia" w:ascii="宋体" w:hAnsi="宋体" w:eastAsia="宋体" w:cs="宋体"/>
          <w:snapToGrid w:val="0"/>
          <w:color w:val="auto"/>
          <w:sz w:val="24"/>
          <w:szCs w:val="24"/>
          <w:highlight w:val="none"/>
        </w:rPr>
      </w:pPr>
      <w:bookmarkStart w:id="20" w:name="_bookmark28"/>
      <w:bookmarkEnd w:id="20"/>
      <w:r>
        <w:rPr>
          <w:rFonts w:hint="eastAsia" w:ascii="宋体" w:hAnsi="宋体" w:eastAsia="宋体" w:cs="宋体"/>
          <w:snapToGrid w:val="0"/>
          <w:color w:val="auto"/>
          <w:sz w:val="24"/>
          <w:szCs w:val="24"/>
          <w:highlight w:val="none"/>
        </w:rPr>
        <w:t>1.12计量单位</w:t>
      </w:r>
    </w:p>
    <w:p w14:paraId="5F147AAF">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1.12.1所有计量均采用中华人民共和国法定计量单位。</w:t>
      </w:r>
    </w:p>
    <w:p w14:paraId="24B8F82F">
      <w:pPr>
        <w:pStyle w:val="4"/>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1.13标准时间</w:t>
      </w:r>
    </w:p>
    <w:p w14:paraId="4DD70282">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1.13.1本招标文件中出现的时间均指北京时间。</w:t>
      </w:r>
    </w:p>
    <w:p w14:paraId="183E06C9">
      <w:pPr>
        <w:snapToGrid w:val="0"/>
        <w:spacing w:line="360" w:lineRule="auto"/>
        <w:jc w:val="center"/>
        <w:outlineLvl w:val="1"/>
        <w:rPr>
          <w:rFonts w:hint="eastAsia" w:ascii="宋体" w:hAnsi="宋体" w:eastAsia="宋体" w:cs="宋体"/>
          <w:b/>
          <w:snapToGrid w:val="0"/>
          <w:color w:val="auto"/>
          <w:kern w:val="0"/>
          <w:sz w:val="24"/>
          <w:szCs w:val="24"/>
          <w:highlight w:val="none"/>
        </w:rPr>
      </w:pPr>
      <w:bookmarkStart w:id="21" w:name="_Toc15241"/>
      <w:bookmarkStart w:id="22" w:name="_Toc143421657"/>
      <w:bookmarkStart w:id="23" w:name="_Toc83886016"/>
      <w:bookmarkStart w:id="24" w:name="_Toc26219"/>
      <w:r>
        <w:rPr>
          <w:rFonts w:hint="eastAsia" w:ascii="宋体" w:hAnsi="宋体" w:eastAsia="宋体" w:cs="宋体"/>
          <w:b/>
          <w:snapToGrid w:val="0"/>
          <w:color w:val="auto"/>
          <w:kern w:val="0"/>
          <w:sz w:val="24"/>
          <w:szCs w:val="24"/>
          <w:highlight w:val="none"/>
        </w:rPr>
        <w:t>2、招标文件</w:t>
      </w:r>
      <w:bookmarkEnd w:id="21"/>
      <w:bookmarkEnd w:id="22"/>
      <w:bookmarkEnd w:id="23"/>
      <w:bookmarkEnd w:id="24"/>
    </w:p>
    <w:p w14:paraId="79A8ED99">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25" w:name="_Toc1426"/>
      <w:r>
        <w:rPr>
          <w:rFonts w:hint="eastAsia" w:ascii="宋体" w:hAnsi="宋体" w:eastAsia="宋体" w:cs="宋体"/>
          <w:b/>
          <w:bCs/>
          <w:snapToGrid w:val="0"/>
          <w:color w:val="auto"/>
          <w:kern w:val="0"/>
          <w:sz w:val="24"/>
          <w:szCs w:val="24"/>
          <w:highlight w:val="none"/>
        </w:rPr>
        <w:t>2.1招标文件的组成</w:t>
      </w:r>
      <w:bookmarkEnd w:id="25"/>
    </w:p>
    <w:p w14:paraId="0597D42D">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本招标文件包括：</w:t>
      </w:r>
    </w:p>
    <w:p w14:paraId="744B755F">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（1）招标公告；</w:t>
      </w:r>
    </w:p>
    <w:p w14:paraId="1F5B7596">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（2）投标人须知；</w:t>
      </w:r>
    </w:p>
    <w:p w14:paraId="6FB9802A">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eastAsia="zh-CN"/>
        </w:rPr>
        <w:t>用户需求及技术要求</w:t>
      </w:r>
      <w:r>
        <w:rPr>
          <w:rFonts w:hint="eastAsia" w:ascii="宋体" w:hAnsi="宋体" w:eastAsia="宋体" w:cs="宋体"/>
          <w:snapToGrid w:val="0"/>
          <w:color w:val="auto"/>
          <w:kern w:val="0"/>
          <w:sz w:val="24"/>
          <w:szCs w:val="24"/>
          <w:highlight w:val="none"/>
        </w:rPr>
        <w:t>；</w:t>
      </w:r>
    </w:p>
    <w:p w14:paraId="2C14E763">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（4）评标方法及评价标准；</w:t>
      </w:r>
    </w:p>
    <w:p w14:paraId="3D08F342">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（5）投标文件格式；</w:t>
      </w:r>
    </w:p>
    <w:p w14:paraId="304D3AAA">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（6）合同条款及格式（仅供参考）；</w:t>
      </w:r>
    </w:p>
    <w:p w14:paraId="002A4BC6">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（7）投标人须知前附表规定的其他材料。</w:t>
      </w:r>
    </w:p>
    <w:p w14:paraId="1B865BD9">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根据本须知第2.3款对招标文件做出的澄清、修改、答复内容，共同构成招标文件的组成部分。</w:t>
      </w:r>
    </w:p>
    <w:p w14:paraId="6DDAB3AC">
      <w:pPr>
        <w:spacing w:line="360" w:lineRule="auto"/>
        <w:ind w:firstLine="480" w:firstLineChars="200"/>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除上述所列内容外，招标人的任何工作人员对投标人所作的任何口头解释、介绍、答复，只能供投标人参考，对招标人和投标人无任何约束力。</w:t>
      </w:r>
    </w:p>
    <w:p w14:paraId="23C1F2B5">
      <w:pPr>
        <w:pStyle w:val="7"/>
        <w:adjustRightInd w:val="0"/>
        <w:snapToGrid w:val="0"/>
        <w:spacing w:after="0" w:line="360" w:lineRule="auto"/>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2.2招标文件的获取</w:t>
      </w:r>
    </w:p>
    <w:p w14:paraId="7A1E35A6">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2.2.1招标文件的获取方式、要求：见投标人须知前附表。</w:t>
      </w:r>
    </w:p>
    <w:p w14:paraId="55DD479B">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26" w:name="_Toc18230"/>
      <w:r>
        <w:rPr>
          <w:rFonts w:hint="eastAsia" w:ascii="宋体" w:hAnsi="宋体" w:eastAsia="宋体" w:cs="宋体"/>
          <w:b/>
          <w:bCs/>
          <w:snapToGrid w:val="0"/>
          <w:color w:val="auto"/>
          <w:kern w:val="0"/>
          <w:sz w:val="24"/>
          <w:szCs w:val="24"/>
          <w:highlight w:val="none"/>
        </w:rPr>
        <w:t>2.3招标文件的澄清</w:t>
      </w:r>
      <w:bookmarkEnd w:id="26"/>
      <w:r>
        <w:rPr>
          <w:rFonts w:hint="eastAsia" w:ascii="宋体" w:hAnsi="宋体" w:eastAsia="宋体" w:cs="宋体"/>
          <w:b/>
          <w:bCs/>
          <w:snapToGrid w:val="0"/>
          <w:color w:val="auto"/>
          <w:kern w:val="0"/>
          <w:sz w:val="24"/>
          <w:szCs w:val="24"/>
          <w:highlight w:val="none"/>
        </w:rPr>
        <w:t>和修改</w:t>
      </w:r>
    </w:p>
    <w:p w14:paraId="785F6459">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2.3.1投标人在获取招标文件后，对招标文件任何部分若有任何疑问，应按投标人须知前附表规定的“对招标文件提出问题截止时间、方式”，要求招标人对招标文件予以澄清。</w:t>
      </w:r>
    </w:p>
    <w:p w14:paraId="3831A283">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2.3.2招标人因投标人的澄清、异议要求而对招标文件做出澄清或修改的，以投标人须知前附表规定的“招标文件澄清、修改发出的形式”发给所有获取招标文件的投标人，但不指明澄清问题的来源。该澄清或修改文件作为招标文件的组成部分，具有约束作用。如果澄清或修改发出的时间距投标截止时间不足15天，且澄清或者修改的内容可能影响投标文件编制的，将顺延提交投标文件的截止时间。</w:t>
      </w:r>
    </w:p>
    <w:p w14:paraId="5BCD943D">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2.3.3除非招标人认为确有必要答复，否则，招标人有权拒绝回复投标人在本章第2.3.1项规定的时间后的任何澄清要求。</w:t>
      </w:r>
    </w:p>
    <w:p w14:paraId="74D39ADF">
      <w:pPr>
        <w:snapToGrid w:val="0"/>
        <w:spacing w:line="360" w:lineRule="auto"/>
        <w:jc w:val="center"/>
        <w:outlineLvl w:val="1"/>
        <w:rPr>
          <w:rFonts w:hint="eastAsia" w:ascii="宋体" w:hAnsi="宋体" w:eastAsia="宋体" w:cs="宋体"/>
          <w:b/>
          <w:snapToGrid w:val="0"/>
          <w:color w:val="auto"/>
          <w:kern w:val="0"/>
          <w:sz w:val="24"/>
          <w:szCs w:val="24"/>
          <w:highlight w:val="none"/>
        </w:rPr>
      </w:pPr>
      <w:bookmarkStart w:id="27" w:name="_Toc83886017"/>
      <w:bookmarkStart w:id="28" w:name="_Toc26730"/>
      <w:bookmarkStart w:id="29" w:name="_Toc18870"/>
      <w:bookmarkStart w:id="30" w:name="_Toc143421658"/>
      <w:r>
        <w:rPr>
          <w:rFonts w:hint="eastAsia" w:ascii="宋体" w:hAnsi="宋体" w:eastAsia="宋体" w:cs="宋体"/>
          <w:b/>
          <w:snapToGrid w:val="0"/>
          <w:color w:val="auto"/>
          <w:kern w:val="0"/>
          <w:sz w:val="24"/>
          <w:szCs w:val="24"/>
          <w:highlight w:val="none"/>
        </w:rPr>
        <w:t>3、投标文件</w:t>
      </w:r>
      <w:bookmarkEnd w:id="27"/>
      <w:bookmarkEnd w:id="28"/>
      <w:bookmarkEnd w:id="29"/>
      <w:bookmarkEnd w:id="30"/>
    </w:p>
    <w:p w14:paraId="668E959C">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31" w:name="_Toc1411"/>
      <w:bookmarkStart w:id="32" w:name="_Toc143421659"/>
      <w:bookmarkStart w:id="33" w:name="_Toc32652"/>
      <w:r>
        <w:rPr>
          <w:rFonts w:hint="eastAsia" w:ascii="宋体" w:hAnsi="宋体" w:eastAsia="宋体" w:cs="宋体"/>
          <w:b/>
          <w:bCs/>
          <w:snapToGrid w:val="0"/>
          <w:color w:val="auto"/>
          <w:kern w:val="0"/>
          <w:sz w:val="24"/>
          <w:szCs w:val="24"/>
          <w:highlight w:val="none"/>
        </w:rPr>
        <w:t>3.1投标文件的组成</w:t>
      </w:r>
      <w:bookmarkEnd w:id="31"/>
    </w:p>
    <w:p w14:paraId="3ED6229D">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3.1</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 xml:space="preserve"> 投标文件</w:t>
      </w:r>
      <w:r>
        <w:rPr>
          <w:rFonts w:hint="eastAsia" w:ascii="宋体" w:hAnsi="宋体" w:eastAsia="宋体" w:cs="宋体"/>
          <w:snapToGrid w:val="0"/>
          <w:color w:val="auto"/>
          <w:kern w:val="0"/>
          <w:sz w:val="24"/>
          <w:szCs w:val="24"/>
          <w:highlight w:val="none"/>
          <w:lang w:val="en-US" w:eastAsia="zh-CN"/>
        </w:rPr>
        <w:t>的组成：</w:t>
      </w:r>
      <w:r>
        <w:rPr>
          <w:rFonts w:hint="eastAsia" w:ascii="宋体" w:hAnsi="宋体" w:eastAsia="宋体" w:cs="宋体"/>
          <w:snapToGrid w:val="0"/>
          <w:color w:val="auto"/>
          <w:kern w:val="0"/>
          <w:sz w:val="24"/>
          <w:szCs w:val="24"/>
          <w:highlight w:val="none"/>
        </w:rPr>
        <w:t>见投标人须知前附表。</w:t>
      </w:r>
    </w:p>
    <w:p w14:paraId="0A26E1BA">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投标人在评标过程中作出的符合法律法规和招标文件规定的澄清确认，构成投标文件的组成部分。</w:t>
      </w:r>
    </w:p>
    <w:p w14:paraId="27B95081">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3.1.2投标人须知前附表规定不接受联合体投标的，或投标人没有组成联合体的，投标文件不包括投标人须知前附表所指的联合体协议书。</w:t>
      </w:r>
    </w:p>
    <w:p w14:paraId="54643AA8">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3.1.3投标人须知前附表未要求提交投标保证金的，投标文件不包括投标人须知前附表所指的投标保证金缴存证明。</w:t>
      </w:r>
    </w:p>
    <w:p w14:paraId="0F65A88D">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3.2资格审查资料</w:t>
      </w:r>
    </w:p>
    <w:p w14:paraId="60B7485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3.2.1投标人应按本章第1.4款要求提供相关资格审查资料。</w:t>
      </w:r>
    </w:p>
    <w:p w14:paraId="4A21C71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3.2.2“资格文件”中的“营业执照”等复印件是指：</w:t>
      </w:r>
    </w:p>
    <w:p w14:paraId="13B92DB3">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投标人根据企业、非企业性质不同，可分别提供营业执照、事业单位法人证书、社会团体法人登记证书或其他组织登记证明文件的复印件；</w:t>
      </w:r>
    </w:p>
    <w:p w14:paraId="4B91B816">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3.2.3“资格文件”中的“其他资格条件证明材料”应提供与项目的特殊要求存在实质性关联的相关特定行业资格许可证或授权许可证的证书复印件，或招标人认为确需增加的其他资格条件相关的合同、业绩证明材料。</w:t>
      </w:r>
    </w:p>
    <w:p w14:paraId="2701B75C">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34" w:name="_Toc32225"/>
      <w:r>
        <w:rPr>
          <w:rFonts w:hint="eastAsia" w:ascii="宋体" w:hAnsi="宋体" w:eastAsia="宋体" w:cs="宋体"/>
          <w:b/>
          <w:bCs/>
          <w:snapToGrid w:val="0"/>
          <w:color w:val="auto"/>
          <w:kern w:val="0"/>
          <w:sz w:val="24"/>
          <w:szCs w:val="24"/>
          <w:highlight w:val="none"/>
        </w:rPr>
        <w:t>3.3投标报价</w:t>
      </w:r>
      <w:bookmarkEnd w:id="34"/>
    </w:p>
    <w:p w14:paraId="1DAF74BC">
      <w:pPr>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bookmarkStart w:id="35" w:name="_Toc13307"/>
      <w:r>
        <w:rPr>
          <w:rFonts w:hint="eastAsia" w:ascii="宋体" w:hAnsi="宋体" w:eastAsia="宋体" w:cs="宋体"/>
          <w:snapToGrid w:val="0"/>
          <w:color w:val="auto"/>
          <w:kern w:val="0"/>
          <w:sz w:val="24"/>
          <w:szCs w:val="24"/>
          <w:highlight w:val="none"/>
        </w:rPr>
        <w:t>3.3.1投标人应按第五章“投标文件格式”的要求在“投标函”中进行报价。</w:t>
      </w:r>
      <w:r>
        <w:rPr>
          <w:rFonts w:hint="eastAsia" w:ascii="宋体" w:hAnsi="宋体" w:eastAsia="宋体" w:cs="宋体"/>
          <w:color w:val="auto"/>
          <w:sz w:val="24"/>
          <w:szCs w:val="24"/>
          <w:highlight w:val="none"/>
        </w:rPr>
        <w:t>有关本项目建设或采购所需的所有费用均计入报价。</w:t>
      </w:r>
      <w:r>
        <w:rPr>
          <w:rFonts w:hint="eastAsia" w:ascii="宋体" w:hAnsi="宋体" w:eastAsia="宋体" w:cs="宋体"/>
          <w:snapToGrid w:val="0"/>
          <w:color w:val="auto"/>
          <w:kern w:val="0"/>
          <w:sz w:val="24"/>
          <w:szCs w:val="24"/>
          <w:highlight w:val="none"/>
        </w:rPr>
        <w:t>投标文件中价格全部采用人民币报价。</w:t>
      </w:r>
    </w:p>
    <w:p w14:paraId="12419A97">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3.3.2投标人应充分了解该项目的总体情况以及影响投标报价的其他要素。</w:t>
      </w:r>
    </w:p>
    <w:p w14:paraId="128AED23">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3.3.3招标人设有最高投标限价的，投标人的投标报价不得超过最高投标限价，最高投标限价在投标人须知前附表中载明。</w:t>
      </w:r>
    </w:p>
    <w:p w14:paraId="227BB38D">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3.3.4投标报价的具体要求详见第三章“</w:t>
      </w:r>
      <w:r>
        <w:rPr>
          <w:rFonts w:hint="eastAsia" w:ascii="宋体" w:hAnsi="宋体" w:eastAsia="宋体" w:cs="宋体"/>
          <w:snapToGrid w:val="0"/>
          <w:color w:val="auto"/>
          <w:kern w:val="0"/>
          <w:sz w:val="24"/>
          <w:szCs w:val="24"/>
          <w:highlight w:val="none"/>
          <w:lang w:eastAsia="zh-CN"/>
        </w:rPr>
        <w:t>用户需求及技术要求</w:t>
      </w:r>
      <w:r>
        <w:rPr>
          <w:rFonts w:hint="eastAsia" w:ascii="宋体" w:hAnsi="宋体" w:eastAsia="宋体" w:cs="宋体"/>
          <w:snapToGrid w:val="0"/>
          <w:color w:val="auto"/>
          <w:kern w:val="0"/>
          <w:sz w:val="24"/>
          <w:szCs w:val="24"/>
          <w:highlight w:val="none"/>
        </w:rPr>
        <w:t>”。</w:t>
      </w:r>
    </w:p>
    <w:bookmarkEnd w:id="35"/>
    <w:p w14:paraId="14CC1BD1">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36" w:name="_Toc29989"/>
      <w:r>
        <w:rPr>
          <w:rFonts w:hint="eastAsia" w:ascii="宋体" w:hAnsi="宋体" w:eastAsia="宋体" w:cs="宋体"/>
          <w:b/>
          <w:bCs/>
          <w:snapToGrid w:val="0"/>
          <w:color w:val="auto"/>
          <w:kern w:val="0"/>
          <w:sz w:val="24"/>
          <w:szCs w:val="24"/>
          <w:highlight w:val="none"/>
        </w:rPr>
        <w:t>3.4投标文件的编制</w:t>
      </w:r>
      <w:bookmarkEnd w:id="36"/>
    </w:p>
    <w:p w14:paraId="6F056D22">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3.4.1投标文件分资格文件、商务文件、资信文件、技术文件四部分，应按第3.1款规定的内容和第五章“投标文件格式”进行编写，如有必要，可以增加附页，作为投标文件的组成部分，“投标文件格式”中没有规定的可自行编制格式。</w:t>
      </w:r>
    </w:p>
    <w:p w14:paraId="2CDC6617">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3.4.2投标人按投标人须知前附表规定的份数编制投标文件。投标文件的正本和副本均需打印或使用不褪色的墨水笔书写，字迹应清晰易于辨认。正本和副本的封面右上角上应清楚地标记“正本”或“副本”的字样。投标人应根据前附表要求提供电子版文件。当副本和正本不一致或电子版文件和纸质正本文件不一致时，以纸质正本文件为准。</w:t>
      </w:r>
    </w:p>
    <w:p w14:paraId="5E1BED3F">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3.4.3投标文件装订要求见投标人须知前附表。投标文件的正本与副本应分别装订成册，内容是否分册装订见前附表。投标文件的装订必须采用胶订或线订形式，不得采用活页装订方式（胶订或线订以外装订形式视为活页装订）。投标文件建议采用A4幅面，按顺序统一编目编码装订成册。提倡双面打印。</w:t>
      </w:r>
    </w:p>
    <w:p w14:paraId="7C0B451F">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3.4.4 投标文件按照招标文件第五章格式要求进行签署、盖章。投标文件封面、投标函均应加盖</w:t>
      </w:r>
      <w:r>
        <w:rPr>
          <w:rFonts w:hint="eastAsia" w:ascii="宋体" w:hAnsi="宋体" w:eastAsia="宋体" w:cs="宋体"/>
          <w:snapToGrid w:val="0"/>
          <w:color w:val="auto"/>
          <w:sz w:val="24"/>
          <w:szCs w:val="24"/>
          <w:highlight w:val="none"/>
        </w:rPr>
        <w:t>投标人单位公章</w:t>
      </w:r>
      <w:r>
        <w:rPr>
          <w:rFonts w:hint="eastAsia" w:ascii="宋体" w:hAnsi="宋体" w:eastAsia="宋体" w:cs="宋体"/>
          <w:snapToGrid w:val="0"/>
          <w:color w:val="auto"/>
          <w:kern w:val="0"/>
          <w:sz w:val="24"/>
          <w:szCs w:val="24"/>
          <w:highlight w:val="none"/>
        </w:rPr>
        <w:t>并经法定代表人或其委托代理人签字或盖</w:t>
      </w:r>
      <w:r>
        <w:rPr>
          <w:rFonts w:hint="eastAsia" w:ascii="宋体" w:hAnsi="宋体" w:eastAsia="宋体" w:cs="宋体"/>
          <w:snapToGrid w:val="0"/>
          <w:color w:val="auto"/>
          <w:sz w:val="24"/>
          <w:szCs w:val="24"/>
          <w:highlight w:val="none"/>
        </w:rPr>
        <w:t>投标人单位公章</w:t>
      </w:r>
      <w:r>
        <w:rPr>
          <w:rFonts w:hint="eastAsia" w:ascii="宋体" w:hAnsi="宋体" w:eastAsia="宋体" w:cs="宋体"/>
          <w:snapToGrid w:val="0"/>
          <w:color w:val="auto"/>
          <w:kern w:val="0"/>
          <w:sz w:val="24"/>
          <w:szCs w:val="24"/>
          <w:highlight w:val="none"/>
        </w:rPr>
        <w:t>。由委托代理人签字或盖</w:t>
      </w:r>
      <w:r>
        <w:rPr>
          <w:rFonts w:hint="eastAsia" w:ascii="宋体" w:hAnsi="宋体" w:eastAsia="宋体" w:cs="宋体"/>
          <w:snapToGrid w:val="0"/>
          <w:color w:val="auto"/>
          <w:sz w:val="24"/>
          <w:szCs w:val="24"/>
          <w:highlight w:val="none"/>
        </w:rPr>
        <w:t>投标人单位公章</w:t>
      </w:r>
      <w:r>
        <w:rPr>
          <w:rFonts w:hint="eastAsia" w:ascii="宋体" w:hAnsi="宋体" w:eastAsia="宋体" w:cs="宋体"/>
          <w:snapToGrid w:val="0"/>
          <w:color w:val="auto"/>
          <w:kern w:val="0"/>
          <w:sz w:val="24"/>
          <w:szCs w:val="24"/>
          <w:highlight w:val="none"/>
        </w:rPr>
        <w:t>的在投标文件中必须同时提交法定代表人签署授权委托书。投标文件应尽量避免涂改、行间插字或删除。如果出现上述情况，改动之处应由投标人的法定代表人或其委托代理人签字或盖</w:t>
      </w:r>
      <w:r>
        <w:rPr>
          <w:rFonts w:hint="eastAsia" w:ascii="宋体" w:hAnsi="宋体" w:eastAsia="宋体" w:cs="宋体"/>
          <w:snapToGrid w:val="0"/>
          <w:color w:val="auto"/>
          <w:sz w:val="24"/>
          <w:szCs w:val="24"/>
          <w:highlight w:val="none"/>
        </w:rPr>
        <w:t>投标人单位公章</w:t>
      </w:r>
      <w:r>
        <w:rPr>
          <w:rFonts w:hint="eastAsia" w:ascii="宋体" w:hAnsi="宋体" w:eastAsia="宋体" w:cs="宋体"/>
          <w:snapToGrid w:val="0"/>
          <w:color w:val="auto"/>
          <w:kern w:val="0"/>
          <w:sz w:val="24"/>
          <w:szCs w:val="24"/>
          <w:highlight w:val="none"/>
        </w:rPr>
        <w:t>、注明日期予以确认。</w:t>
      </w:r>
    </w:p>
    <w:p w14:paraId="7E0FDB6C">
      <w:pPr>
        <w:adjustRightInd w:val="0"/>
        <w:snapToGrid w:val="0"/>
        <w:spacing w:line="360" w:lineRule="auto"/>
        <w:ind w:firstLine="482" w:firstLineChars="200"/>
        <w:jc w:val="center"/>
        <w:outlineLvl w:val="1"/>
        <w:rPr>
          <w:rFonts w:hint="eastAsia" w:ascii="宋体" w:hAnsi="宋体" w:eastAsia="宋体" w:cs="宋体"/>
          <w:b/>
          <w:snapToGrid w:val="0"/>
          <w:color w:val="auto"/>
          <w:kern w:val="0"/>
          <w:sz w:val="24"/>
          <w:szCs w:val="24"/>
          <w:highlight w:val="none"/>
        </w:rPr>
      </w:pPr>
      <w:bookmarkStart w:id="37" w:name="_Toc13653"/>
      <w:bookmarkStart w:id="38" w:name="_Toc83886018"/>
      <w:r>
        <w:rPr>
          <w:rFonts w:hint="eastAsia" w:ascii="宋体" w:hAnsi="宋体" w:eastAsia="宋体" w:cs="宋体"/>
          <w:b/>
          <w:snapToGrid w:val="0"/>
          <w:color w:val="auto"/>
          <w:kern w:val="0"/>
          <w:sz w:val="24"/>
          <w:szCs w:val="24"/>
          <w:highlight w:val="none"/>
        </w:rPr>
        <w:t>4、投标</w:t>
      </w:r>
      <w:bookmarkEnd w:id="37"/>
      <w:bookmarkEnd w:id="38"/>
    </w:p>
    <w:bookmarkEnd w:id="32"/>
    <w:bookmarkEnd w:id="33"/>
    <w:p w14:paraId="712CEE98">
      <w:pPr>
        <w:adjustRightInd w:val="0"/>
        <w:snapToGrid w:val="0"/>
        <w:spacing w:after="0" w:line="360" w:lineRule="auto"/>
        <w:jc w:val="left"/>
        <w:rPr>
          <w:rFonts w:hint="eastAsia" w:ascii="宋体" w:hAnsi="宋体" w:eastAsia="宋体" w:cs="宋体"/>
          <w:b/>
          <w:bCs/>
          <w:snapToGrid w:val="0"/>
          <w:color w:val="auto"/>
          <w:kern w:val="0"/>
          <w:sz w:val="24"/>
          <w:szCs w:val="24"/>
          <w:highlight w:val="none"/>
        </w:rPr>
      </w:pPr>
      <w:bookmarkStart w:id="39" w:name="_Toc649"/>
      <w:r>
        <w:rPr>
          <w:rFonts w:hint="eastAsia" w:ascii="宋体" w:hAnsi="宋体" w:eastAsia="宋体" w:cs="宋体"/>
          <w:b/>
          <w:bCs/>
          <w:snapToGrid w:val="0"/>
          <w:color w:val="auto"/>
          <w:kern w:val="0"/>
          <w:sz w:val="24"/>
          <w:szCs w:val="24"/>
          <w:highlight w:val="none"/>
        </w:rPr>
        <w:t>4.1 踏勘现场</w:t>
      </w:r>
    </w:p>
    <w:p w14:paraId="08F132FE">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4.1.1 投标人须知前附表规定组织踏勘现场的，招标人按投标人须知前附表规定的时间、地点组织投标人踏勘项目现场。未参加现场踏勘不作为否定投标人资格的理由。</w:t>
      </w:r>
    </w:p>
    <w:p w14:paraId="25BB0FB7">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4.1.2 投标人踏勘现场发生的费用自理。 除招标人的原因外，投标人自行负责在踏勘现场中所发生的人员伤亡和财产损失。</w:t>
      </w:r>
    </w:p>
    <w:p w14:paraId="550F69D0">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4.1.3 招标人在踏勘现场中介绍的项目情况和提供的资料，仅供投标人在编制投标文件时参考，招标人不对投标人据此作出的判断和决策负责。</w:t>
      </w:r>
    </w:p>
    <w:p w14:paraId="6DCF530F">
      <w:pPr>
        <w:pStyle w:val="7"/>
        <w:adjustRightInd w:val="0"/>
        <w:snapToGrid w:val="0"/>
        <w:spacing w:after="0" w:line="360" w:lineRule="auto"/>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4.2 投标预备会</w:t>
      </w:r>
    </w:p>
    <w:p w14:paraId="1EF70C05">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4.2.1 如招标人认为有必要召开投标预备会，潜在投标人按投标人须知前附表规定的时间、地点自行派出代表参加招标人组织的投标预备会。未出席投标预备会不作为否定投标人资格的理由。</w:t>
      </w:r>
    </w:p>
    <w:p w14:paraId="36D1568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4.2.2投标预备会的目的是澄清、解答投标人在查阅招标文件后和现场踏勘中可能提出的任何方面的问题，如有必要，招标人将就投标人提出的问题以答疑的形式在投标预备会上进行解释。</w:t>
      </w:r>
    </w:p>
    <w:p w14:paraId="3926635F">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4.2.3招标人在投标预备会上所做出的澄清和解答，以书面答复为准，该答疑纪要文件构成招标文件的一部分，具有约束作用，并按第2.3.2项要求予以公布并通知。</w:t>
      </w:r>
    </w:p>
    <w:p w14:paraId="0CAFA070">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40" w:name="_Toc360398511"/>
      <w:bookmarkStart w:id="41" w:name="_Toc30464"/>
      <w:r>
        <w:rPr>
          <w:rFonts w:hint="eastAsia" w:ascii="宋体" w:hAnsi="宋体" w:eastAsia="宋体" w:cs="宋体"/>
          <w:b/>
          <w:bCs/>
          <w:snapToGrid w:val="0"/>
          <w:color w:val="auto"/>
          <w:kern w:val="0"/>
          <w:sz w:val="24"/>
          <w:szCs w:val="24"/>
          <w:highlight w:val="none"/>
        </w:rPr>
        <w:t>4.3 投标保证金</w:t>
      </w:r>
      <w:bookmarkEnd w:id="40"/>
      <w:bookmarkEnd w:id="41"/>
    </w:p>
    <w:p w14:paraId="30A233B2">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4.3.1投标人应在递交投标文件时或之前提交一笔不少于投标人须知前附表所规定数额的投标保证金，作为其投标的一部分。招标人可根据招标文件规定的条件对投标保证金</w:t>
      </w:r>
      <w:r>
        <w:rPr>
          <w:rFonts w:hint="eastAsia" w:ascii="宋体" w:hAnsi="宋体" w:eastAsia="宋体" w:cs="宋体"/>
          <w:color w:val="auto"/>
          <w:kern w:val="0"/>
          <w:sz w:val="24"/>
          <w:szCs w:val="24"/>
          <w:highlight w:val="none"/>
          <w:lang w:val="en-US" w:eastAsia="zh-CN" w:bidi="ar"/>
        </w:rPr>
        <w:t>不予退还</w:t>
      </w:r>
      <w:r>
        <w:rPr>
          <w:rFonts w:hint="eastAsia" w:ascii="宋体" w:hAnsi="宋体" w:eastAsia="宋体" w:cs="宋体"/>
          <w:snapToGrid w:val="0"/>
          <w:color w:val="auto"/>
          <w:kern w:val="0"/>
          <w:sz w:val="24"/>
          <w:szCs w:val="24"/>
          <w:highlight w:val="none"/>
        </w:rPr>
        <w:t>。</w:t>
      </w:r>
    </w:p>
    <w:p w14:paraId="5967CC7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4.3.2对于未能按要求提交投标保证金的投标，招标人将视为不响应招标文件而予以拒绝。</w:t>
      </w:r>
    </w:p>
    <w:p w14:paraId="67C6821C">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4.3.3未中标的投标人的投标保证金将在中标公示期满后两周内予以</w:t>
      </w:r>
      <w:r>
        <w:rPr>
          <w:rFonts w:hint="eastAsia" w:ascii="宋体" w:hAnsi="宋体" w:eastAsia="宋体" w:cs="宋体"/>
          <w:color w:val="auto"/>
          <w:kern w:val="0"/>
          <w:sz w:val="24"/>
          <w:szCs w:val="24"/>
          <w:highlight w:val="none"/>
          <w:lang w:val="en-US" w:eastAsia="zh-CN" w:bidi="ar"/>
        </w:rPr>
        <w:t>无息</w:t>
      </w:r>
      <w:r>
        <w:rPr>
          <w:rFonts w:hint="eastAsia" w:ascii="宋体" w:hAnsi="宋体" w:eastAsia="宋体" w:cs="宋体"/>
          <w:snapToGrid w:val="0"/>
          <w:color w:val="auto"/>
          <w:kern w:val="0"/>
          <w:sz w:val="24"/>
          <w:szCs w:val="24"/>
          <w:highlight w:val="none"/>
        </w:rPr>
        <w:t>退还。</w:t>
      </w:r>
    </w:p>
    <w:p w14:paraId="7D42A936">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4.3.4中标人的投标保证金，在中标人签订合同后两周内予以</w:t>
      </w:r>
      <w:r>
        <w:rPr>
          <w:rFonts w:hint="eastAsia" w:ascii="宋体" w:hAnsi="宋体" w:eastAsia="宋体" w:cs="宋体"/>
          <w:color w:val="auto"/>
          <w:kern w:val="0"/>
          <w:sz w:val="24"/>
          <w:szCs w:val="24"/>
          <w:highlight w:val="none"/>
          <w:lang w:val="en-US" w:eastAsia="zh-CN" w:bidi="ar"/>
        </w:rPr>
        <w:t>无息</w:t>
      </w:r>
      <w:r>
        <w:rPr>
          <w:rFonts w:hint="eastAsia" w:ascii="宋体" w:hAnsi="宋体" w:eastAsia="宋体" w:cs="宋体"/>
          <w:snapToGrid w:val="0"/>
          <w:color w:val="auto"/>
          <w:kern w:val="0"/>
          <w:sz w:val="24"/>
          <w:szCs w:val="24"/>
          <w:highlight w:val="none"/>
        </w:rPr>
        <w:t>退还。</w:t>
      </w:r>
    </w:p>
    <w:p w14:paraId="2B47AF85">
      <w:pPr>
        <w:keepNext w:val="0"/>
        <w:keepLines w:val="0"/>
        <w:widowControl/>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4.3.5如投标人有下列任何情况发生时，投标保证金将</w:t>
      </w:r>
      <w:r>
        <w:rPr>
          <w:rFonts w:hint="eastAsia" w:ascii="宋体" w:hAnsi="宋体" w:eastAsia="宋体" w:cs="宋体"/>
          <w:color w:val="auto"/>
          <w:kern w:val="0"/>
          <w:sz w:val="24"/>
          <w:szCs w:val="24"/>
          <w:highlight w:val="none"/>
          <w:lang w:val="en-US" w:eastAsia="zh-CN" w:bidi="ar"/>
        </w:rPr>
        <w:t>不予退还</w:t>
      </w:r>
      <w:r>
        <w:rPr>
          <w:rFonts w:hint="eastAsia" w:ascii="宋体" w:hAnsi="宋体" w:eastAsia="宋体" w:cs="宋体"/>
          <w:snapToGrid w:val="0"/>
          <w:color w:val="auto"/>
          <w:kern w:val="0"/>
          <w:sz w:val="24"/>
          <w:szCs w:val="24"/>
          <w:highlight w:val="none"/>
        </w:rPr>
        <w:t>：</w:t>
      </w:r>
    </w:p>
    <w:p w14:paraId="1210F043">
      <w:pPr>
        <w:pStyle w:val="7"/>
        <w:numPr>
          <w:ilvl w:val="0"/>
          <w:numId w:val="2"/>
        </w:numPr>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在投标有效期内撤回投标文件的；</w:t>
      </w:r>
    </w:p>
    <w:p w14:paraId="191ED365">
      <w:pPr>
        <w:pStyle w:val="7"/>
        <w:numPr>
          <w:ilvl w:val="0"/>
          <w:numId w:val="2"/>
        </w:numPr>
        <w:adjustRightInd w:val="0"/>
        <w:snapToGrid w:val="0"/>
        <w:spacing w:after="0" w:line="360" w:lineRule="auto"/>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拒绝接受投标文件中已确认的承诺或条款；</w:t>
      </w:r>
    </w:p>
    <w:p w14:paraId="7F92A248">
      <w:pPr>
        <w:pStyle w:val="7"/>
        <w:numPr>
          <w:ilvl w:val="0"/>
          <w:numId w:val="2"/>
        </w:numPr>
        <w:adjustRightInd w:val="0"/>
        <w:snapToGrid w:val="0"/>
        <w:spacing w:after="0" w:line="360" w:lineRule="auto"/>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中标人未能在规定期限内提交履约保证金或签署合同协议的；</w:t>
      </w:r>
    </w:p>
    <w:p w14:paraId="4F805955">
      <w:pPr>
        <w:pStyle w:val="7"/>
        <w:numPr>
          <w:ilvl w:val="0"/>
          <w:numId w:val="2"/>
        </w:numPr>
        <w:adjustRightInd w:val="0"/>
        <w:snapToGrid w:val="0"/>
        <w:spacing w:after="0" w:line="360" w:lineRule="auto"/>
        <w:ind w:left="0" w:leftChars="0"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投标人提供虚假资料，经查实的；</w:t>
      </w:r>
    </w:p>
    <w:p w14:paraId="7D9D3DDD">
      <w:pPr>
        <w:pStyle w:val="7"/>
        <w:numPr>
          <w:ilvl w:val="0"/>
          <w:numId w:val="0"/>
        </w:numPr>
        <w:adjustRightInd w:val="0"/>
        <w:snapToGrid w:val="0"/>
        <w:spacing w:after="0" w:line="360" w:lineRule="auto"/>
        <w:ind w:left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（5）投标人在投标期间有串标、哄抬标价等违规违法行为。</w:t>
      </w:r>
    </w:p>
    <w:p w14:paraId="224AA367">
      <w:pPr>
        <w:keepNext/>
        <w:keepLines/>
        <w:adjustRightInd w:val="0"/>
        <w:snapToGrid w:val="0"/>
        <w:spacing w:line="360" w:lineRule="auto"/>
        <w:jc w:val="left"/>
        <w:outlineLvl w:val="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4.4投标样品</w:t>
      </w:r>
    </w:p>
    <w:p w14:paraId="1E635002">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4.4.1本项目投标样品提供的要求：见投标人须知前附表。</w:t>
      </w:r>
    </w:p>
    <w:p w14:paraId="54C420B3">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4.5投标文件的密封和标识</w:t>
      </w:r>
      <w:bookmarkEnd w:id="39"/>
    </w:p>
    <w:p w14:paraId="313559B2">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bookmarkStart w:id="42" w:name="_Toc16616"/>
      <w:r>
        <w:rPr>
          <w:rFonts w:hint="eastAsia" w:ascii="宋体" w:hAnsi="宋体" w:eastAsia="宋体" w:cs="宋体"/>
          <w:snapToGrid w:val="0"/>
          <w:color w:val="auto"/>
          <w:kern w:val="0"/>
          <w:sz w:val="24"/>
          <w:szCs w:val="24"/>
          <w:highlight w:val="none"/>
        </w:rPr>
        <w:t>4.5.1投标文件必须密封包装，并在封套的封口处加盖投标人单位章或由投标人的法定代表人或其授权的代理人签字。</w:t>
      </w:r>
    </w:p>
    <w:p w14:paraId="4E8E0E78">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4.5.2投标文件封套上应写明的内容见投标人须知前附表。</w:t>
      </w:r>
    </w:p>
    <w:p w14:paraId="0F4E7712">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4.5.3未按本章第4.7.2项要求填写内容的投标文件，招标人将不承担投标文件错放或提前开封导致投标被拒绝的责任。</w:t>
      </w:r>
    </w:p>
    <w:p w14:paraId="03F1DA40">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4.6投标文件的递交</w:t>
      </w:r>
      <w:bookmarkEnd w:id="42"/>
    </w:p>
    <w:p w14:paraId="688D6F95">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4.6.1投标人应在投标人须知前附表规定的投标截止时间前、规定的投标文件递交地点递交投标文件。</w:t>
      </w:r>
    </w:p>
    <w:p w14:paraId="063215CC">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4.6.2除投标人须知前附表另有规定外，投标人有效递交的投标文件不予退还。</w:t>
      </w:r>
    </w:p>
    <w:p w14:paraId="1557E933">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43" w:name="_Toc26099"/>
      <w:r>
        <w:rPr>
          <w:rFonts w:hint="eastAsia" w:ascii="宋体" w:hAnsi="宋体" w:eastAsia="宋体" w:cs="宋体"/>
          <w:b/>
          <w:bCs/>
          <w:snapToGrid w:val="0"/>
          <w:color w:val="auto"/>
          <w:kern w:val="0"/>
          <w:sz w:val="24"/>
          <w:szCs w:val="24"/>
          <w:highlight w:val="none"/>
        </w:rPr>
        <w:t>4.7投标文件的补充、修改、撤回</w:t>
      </w:r>
      <w:bookmarkEnd w:id="43"/>
      <w:r>
        <w:rPr>
          <w:rFonts w:hint="eastAsia" w:ascii="宋体" w:hAnsi="宋体" w:eastAsia="宋体" w:cs="宋体"/>
          <w:b/>
          <w:bCs/>
          <w:snapToGrid w:val="0"/>
          <w:color w:val="auto"/>
          <w:kern w:val="0"/>
          <w:sz w:val="24"/>
          <w:szCs w:val="24"/>
          <w:highlight w:val="none"/>
        </w:rPr>
        <w:t>和撤销</w:t>
      </w:r>
    </w:p>
    <w:p w14:paraId="12BE0688">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4.7.1投标人递交投标文件以后，在规定的投标截止时间之前，投标人可以补充、修改或撤回已递交的投标文件，但应以书面形式通知招标人。</w:t>
      </w:r>
    </w:p>
    <w:p w14:paraId="011E33C9">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4.7.2投标人补充、修改或撤回已递交投标文件的书面通知应按照第3条、第4条的有关规定进行编制、密封、标识和递交，并标明“补充修改”或“撤回”字样。</w:t>
      </w:r>
    </w:p>
    <w:p w14:paraId="08D9267F">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4.7.3补充、修改的内容为投标文件的组成部分。补充、修改的内容与投标文件不一致的，以补充、修改的内容为准。</w:t>
      </w:r>
    </w:p>
    <w:p w14:paraId="03B80E50">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4.7.4在投标截止时间以后，不能补充、修改投标文件。投标截止时间以后至招标文件规定的投标有效期内，投标人不能撤销或修改投标文件。</w:t>
      </w:r>
    </w:p>
    <w:p w14:paraId="0896D8B3">
      <w:pPr>
        <w:keepNext/>
        <w:keepLines/>
        <w:adjustRightInd w:val="0"/>
        <w:snapToGrid w:val="0"/>
        <w:spacing w:line="360" w:lineRule="auto"/>
        <w:outlineLvl w:val="2"/>
        <w:rPr>
          <w:rFonts w:hint="eastAsia" w:ascii="宋体" w:hAnsi="宋体" w:eastAsia="宋体" w:cs="宋体"/>
          <w:color w:val="auto"/>
          <w:highlight w:val="none"/>
        </w:rPr>
      </w:pPr>
      <w:r>
        <w:rPr>
          <w:rFonts w:hint="eastAsia" w:ascii="宋体" w:hAnsi="宋体" w:eastAsia="宋体" w:cs="宋体"/>
          <w:b/>
          <w:bCs/>
          <w:snapToGrid w:val="0"/>
          <w:color w:val="auto"/>
          <w:kern w:val="0"/>
          <w:sz w:val="24"/>
          <w:szCs w:val="24"/>
          <w:highlight w:val="none"/>
        </w:rPr>
        <w:t>4.8投标有效期</w:t>
      </w:r>
    </w:p>
    <w:p w14:paraId="195ECB54">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4.8.1除投标人须知前附表另有规定外，投标有效期为90日历天。投标人的投标文件中承诺的投标有效期不得少于招标文件中载明的投标有效期。</w:t>
      </w:r>
    </w:p>
    <w:p w14:paraId="4D8DF7D2">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4.8.2在投标有效期内，投标人撤销或修改投标文件的，应承担招标文件和法律规定的责任。</w:t>
      </w:r>
    </w:p>
    <w:p w14:paraId="77C6AA3D">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4.8.3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不计利息）。在延长的投标有效期内第 4.5款关于投标保证金的退还与不予退还的规定仍然适用。</w:t>
      </w:r>
    </w:p>
    <w:p w14:paraId="73075A20">
      <w:pPr>
        <w:snapToGrid w:val="0"/>
        <w:spacing w:line="360" w:lineRule="auto"/>
        <w:jc w:val="center"/>
        <w:outlineLvl w:val="1"/>
        <w:rPr>
          <w:rFonts w:hint="eastAsia" w:ascii="宋体" w:hAnsi="宋体" w:eastAsia="宋体" w:cs="宋体"/>
          <w:b/>
          <w:snapToGrid w:val="0"/>
          <w:color w:val="auto"/>
          <w:kern w:val="0"/>
          <w:sz w:val="24"/>
          <w:szCs w:val="24"/>
          <w:highlight w:val="none"/>
        </w:rPr>
      </w:pPr>
      <w:bookmarkStart w:id="44" w:name="_Toc29641"/>
      <w:bookmarkStart w:id="45" w:name="_Toc83886019"/>
      <w:bookmarkStart w:id="46" w:name="_Toc30158"/>
      <w:r>
        <w:rPr>
          <w:rFonts w:hint="eastAsia" w:ascii="宋体" w:hAnsi="宋体" w:eastAsia="宋体" w:cs="宋体"/>
          <w:b/>
          <w:snapToGrid w:val="0"/>
          <w:color w:val="auto"/>
          <w:kern w:val="0"/>
          <w:sz w:val="24"/>
          <w:szCs w:val="24"/>
          <w:highlight w:val="none"/>
        </w:rPr>
        <w:t>5、开标</w:t>
      </w:r>
      <w:bookmarkEnd w:id="44"/>
      <w:bookmarkEnd w:id="45"/>
      <w:bookmarkEnd w:id="46"/>
    </w:p>
    <w:p w14:paraId="13F87083">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47" w:name="_Toc15123"/>
      <w:r>
        <w:rPr>
          <w:rFonts w:hint="eastAsia" w:ascii="宋体" w:hAnsi="宋体" w:eastAsia="宋体" w:cs="宋体"/>
          <w:b/>
          <w:bCs/>
          <w:snapToGrid w:val="0"/>
          <w:color w:val="auto"/>
          <w:kern w:val="0"/>
          <w:sz w:val="24"/>
          <w:szCs w:val="24"/>
          <w:highlight w:val="none"/>
        </w:rPr>
        <w:t>5.1开标时间和地点</w:t>
      </w:r>
      <w:bookmarkEnd w:id="47"/>
    </w:p>
    <w:p w14:paraId="07E8EBF2">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5.1.1本项目按照投标人须知前附表规定的时间和地点公开举行开标会议，并邀请所有投标人法定代表人或其委托代理人（简称投标人代表，下同）参加开标会议。</w:t>
      </w:r>
    </w:p>
    <w:p w14:paraId="4823F8E9">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5.2开标应携带的资料</w:t>
      </w:r>
    </w:p>
    <w:p w14:paraId="05753EA1">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5.2.1投标人代表参加开标时，应携带投标人须知前附表规定的资料。</w:t>
      </w:r>
    </w:p>
    <w:p w14:paraId="62736D2E">
      <w:pPr>
        <w:adjustRightInd w:val="0"/>
        <w:snapToGrid w:val="0"/>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5.3开标顺序</w:t>
      </w:r>
    </w:p>
    <w:p w14:paraId="2A072FC9">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5.3.1</w:t>
      </w:r>
      <w:r>
        <w:rPr>
          <w:rFonts w:hint="eastAsia" w:ascii="宋体" w:hAnsi="宋体" w:eastAsia="宋体" w:cs="宋体"/>
          <w:color w:val="auto"/>
          <w:kern w:val="0"/>
          <w:sz w:val="24"/>
          <w:szCs w:val="24"/>
          <w:highlight w:val="none"/>
        </w:rPr>
        <w:t>开标顺序依据</w:t>
      </w:r>
      <w:r>
        <w:rPr>
          <w:rFonts w:hint="eastAsia" w:ascii="宋体" w:hAnsi="宋体" w:eastAsia="宋体" w:cs="宋体"/>
          <w:snapToGrid w:val="0"/>
          <w:color w:val="auto"/>
          <w:kern w:val="0"/>
          <w:sz w:val="24"/>
          <w:szCs w:val="24"/>
          <w:highlight w:val="none"/>
        </w:rPr>
        <w:t>投标人须知前附表的规定</w:t>
      </w:r>
      <w:r>
        <w:rPr>
          <w:rFonts w:hint="eastAsia" w:ascii="宋体" w:hAnsi="宋体" w:eastAsia="宋体" w:cs="宋体"/>
          <w:color w:val="auto"/>
          <w:kern w:val="0"/>
          <w:sz w:val="24"/>
          <w:szCs w:val="24"/>
          <w:highlight w:val="none"/>
        </w:rPr>
        <w:t>。</w:t>
      </w:r>
    </w:p>
    <w:p w14:paraId="4F7226DD">
      <w:pPr>
        <w:adjustRightInd w:val="0"/>
        <w:snapToGrid w:val="0"/>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5.4开标程序</w:t>
      </w:r>
    </w:p>
    <w:p w14:paraId="15D93BFE">
      <w:pPr>
        <w:pStyle w:val="7"/>
        <w:adjustRightInd w:val="0"/>
        <w:snapToGrid w:val="0"/>
        <w:spacing w:after="0" w:line="360" w:lineRule="auto"/>
        <w:ind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5.4.1开标由招标人（或招标代理）主持，按下列程序进行开标：</w:t>
      </w:r>
    </w:p>
    <w:p w14:paraId="2CA2326D">
      <w:pPr>
        <w:pStyle w:val="7"/>
        <w:adjustRightInd w:val="0"/>
        <w:snapToGrid w:val="0"/>
        <w:spacing w:after="0" w:line="360" w:lineRule="auto"/>
        <w:ind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（1）宣布开标纪律；</w:t>
      </w:r>
    </w:p>
    <w:p w14:paraId="52AC3C72">
      <w:pPr>
        <w:pStyle w:val="7"/>
        <w:adjustRightInd w:val="0"/>
        <w:snapToGrid w:val="0"/>
        <w:spacing w:after="0" w:line="360" w:lineRule="auto"/>
        <w:ind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（2）公布在投标截止时间前递交投标文件的投标人家数及名称；</w:t>
      </w:r>
    </w:p>
    <w:p w14:paraId="3855F051">
      <w:pPr>
        <w:pStyle w:val="7"/>
        <w:adjustRightInd w:val="0"/>
        <w:snapToGrid w:val="0"/>
        <w:spacing w:after="0" w:line="360" w:lineRule="auto"/>
        <w:ind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（3）宣布：开标人、唱标人、记录人、监标人等有关工作人员；</w:t>
      </w:r>
    </w:p>
    <w:p w14:paraId="2ECBDCAB">
      <w:pPr>
        <w:pStyle w:val="7"/>
        <w:adjustRightInd w:val="0"/>
        <w:snapToGrid w:val="0"/>
        <w:spacing w:after="0" w:line="360" w:lineRule="auto"/>
        <w:ind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（4）监标人对各投标人法定代表人（或其委托代理人）身份证明进行核验；</w:t>
      </w:r>
    </w:p>
    <w:p w14:paraId="195B1D5B">
      <w:pPr>
        <w:pStyle w:val="7"/>
        <w:adjustRightInd w:val="0"/>
        <w:snapToGrid w:val="0"/>
        <w:spacing w:after="0" w:line="360" w:lineRule="auto"/>
        <w:ind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（5）投标人代表或者其集体推选的代表检查投标文件的密封情况；</w:t>
      </w:r>
    </w:p>
    <w:p w14:paraId="0C077965">
      <w:pPr>
        <w:pStyle w:val="7"/>
        <w:adjustRightInd w:val="0"/>
        <w:snapToGrid w:val="0"/>
        <w:spacing w:after="0" w:line="360" w:lineRule="auto"/>
        <w:ind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（6）按照投标人须知第5.3.1规定的开标顺序当众开启投标文件，清点投标文件正、副本数量，公布投标函内容（投标人全称、报价、服务期等其他内容），并记录在案；</w:t>
      </w:r>
    </w:p>
    <w:p w14:paraId="2F5C9CCC">
      <w:pPr>
        <w:pStyle w:val="7"/>
        <w:adjustRightInd w:val="0"/>
        <w:snapToGrid w:val="0"/>
        <w:spacing w:after="0" w:line="360" w:lineRule="auto"/>
        <w:ind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（7）投标人代表、唱标人、监标人、记录人等有关人员在开标记录上签字确认；</w:t>
      </w:r>
    </w:p>
    <w:p w14:paraId="45590E19">
      <w:pPr>
        <w:pStyle w:val="7"/>
        <w:adjustRightInd w:val="0"/>
        <w:snapToGrid w:val="0"/>
        <w:spacing w:after="0" w:line="360" w:lineRule="auto"/>
        <w:ind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（8）开标结束。</w:t>
      </w:r>
    </w:p>
    <w:p w14:paraId="4BF4BDD0">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5.4.2投标人代表如发现唱标内容或记录结果与投标文件不一致的，应在开标现场当即提出予以纠正。</w:t>
      </w:r>
    </w:p>
    <w:p w14:paraId="2D52729D">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5.4.3投标人未参加开标或参加开标但</w:t>
      </w:r>
      <w:r>
        <w:rPr>
          <w:rFonts w:hint="eastAsia" w:ascii="宋体" w:hAnsi="宋体" w:eastAsia="宋体" w:cs="宋体"/>
          <w:snapToGrid w:val="0"/>
          <w:color w:val="auto"/>
          <w:kern w:val="0"/>
          <w:sz w:val="24"/>
          <w:szCs w:val="24"/>
          <w:highlight w:val="none"/>
          <w:lang w:val="zh-CN"/>
        </w:rPr>
        <w:t>未在开标记录上签字的，</w:t>
      </w:r>
      <w:r>
        <w:rPr>
          <w:rFonts w:hint="eastAsia" w:ascii="宋体" w:hAnsi="宋体" w:eastAsia="宋体" w:cs="宋体"/>
          <w:snapToGrid w:val="0"/>
          <w:color w:val="auto"/>
          <w:kern w:val="0"/>
          <w:sz w:val="24"/>
          <w:szCs w:val="24"/>
          <w:highlight w:val="none"/>
        </w:rPr>
        <w:t>均视同认可开标结果。</w:t>
      </w:r>
    </w:p>
    <w:p w14:paraId="36BD07B7">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5.4.4投标人在投标截止时间前提交投标文件撤回函的，招标人应在开标时宣读撤回函，并将其投标文件及其投标保证金及时退还投标人。</w:t>
      </w:r>
    </w:p>
    <w:p w14:paraId="6708D512">
      <w:pPr>
        <w:adjustRightInd w:val="0"/>
        <w:snapToGrid w:val="0"/>
        <w:spacing w:line="360" w:lineRule="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b/>
          <w:bCs/>
          <w:snapToGrid w:val="0"/>
          <w:color w:val="auto"/>
          <w:kern w:val="0"/>
          <w:sz w:val="24"/>
          <w:szCs w:val="24"/>
          <w:highlight w:val="none"/>
        </w:rPr>
        <w:t>5.5投标文件拒收、退还</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color w:val="auto"/>
          <w:kern w:val="21"/>
          <w:sz w:val="24"/>
          <w:szCs w:val="24"/>
          <w:highlight w:val="none"/>
        </w:rPr>
        <w:t>见</w:t>
      </w:r>
      <w:r>
        <w:rPr>
          <w:rFonts w:hint="eastAsia" w:ascii="宋体" w:hAnsi="宋体" w:eastAsia="宋体" w:cs="宋体"/>
          <w:b/>
          <w:bCs/>
          <w:color w:val="auto"/>
          <w:kern w:val="21"/>
          <w:sz w:val="24"/>
          <w:szCs w:val="24"/>
          <w:highlight w:val="none"/>
          <w:lang w:val="en-US" w:eastAsia="zh-CN"/>
        </w:rPr>
        <w:t>投标人</w:t>
      </w:r>
      <w:r>
        <w:rPr>
          <w:rFonts w:hint="eastAsia" w:ascii="宋体" w:hAnsi="宋体" w:eastAsia="宋体" w:cs="宋体"/>
          <w:b/>
          <w:bCs/>
          <w:color w:val="auto"/>
          <w:kern w:val="21"/>
          <w:sz w:val="24"/>
          <w:szCs w:val="24"/>
          <w:highlight w:val="none"/>
        </w:rPr>
        <w:t>须知前附表。</w:t>
      </w:r>
    </w:p>
    <w:p w14:paraId="434E2E6B">
      <w:pPr>
        <w:snapToGrid w:val="0"/>
        <w:spacing w:line="360" w:lineRule="auto"/>
        <w:jc w:val="center"/>
        <w:outlineLvl w:val="1"/>
        <w:rPr>
          <w:rFonts w:hint="eastAsia" w:ascii="宋体" w:hAnsi="宋体" w:eastAsia="宋体" w:cs="宋体"/>
          <w:b/>
          <w:snapToGrid w:val="0"/>
          <w:color w:val="auto"/>
          <w:kern w:val="0"/>
          <w:sz w:val="24"/>
          <w:szCs w:val="24"/>
          <w:highlight w:val="none"/>
        </w:rPr>
      </w:pPr>
      <w:bookmarkStart w:id="48" w:name="_Toc83886020"/>
      <w:bookmarkStart w:id="49" w:name="_Toc31578"/>
      <w:bookmarkStart w:id="50" w:name="_Toc7908"/>
      <w:r>
        <w:rPr>
          <w:rFonts w:hint="eastAsia" w:ascii="宋体" w:hAnsi="宋体" w:eastAsia="宋体" w:cs="宋体"/>
          <w:b/>
          <w:snapToGrid w:val="0"/>
          <w:color w:val="auto"/>
          <w:kern w:val="0"/>
          <w:sz w:val="24"/>
          <w:szCs w:val="24"/>
          <w:highlight w:val="none"/>
        </w:rPr>
        <w:t>6、评标</w:t>
      </w:r>
      <w:bookmarkEnd w:id="48"/>
      <w:bookmarkEnd w:id="49"/>
      <w:bookmarkEnd w:id="50"/>
    </w:p>
    <w:p w14:paraId="6237E21D">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51" w:name="_Toc10279"/>
      <w:r>
        <w:rPr>
          <w:rFonts w:hint="eastAsia" w:ascii="宋体" w:hAnsi="宋体" w:eastAsia="宋体" w:cs="宋体"/>
          <w:b/>
          <w:bCs/>
          <w:snapToGrid w:val="0"/>
          <w:color w:val="auto"/>
          <w:kern w:val="0"/>
          <w:sz w:val="24"/>
          <w:szCs w:val="24"/>
          <w:highlight w:val="none"/>
        </w:rPr>
        <w:t>6.1评标委员会的组建</w:t>
      </w:r>
    </w:p>
    <w:bookmarkEnd w:id="51"/>
    <w:p w14:paraId="6B5CAEDA">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6.1.1评标小组由招标人依法组建，负责评标活动。</w:t>
      </w:r>
    </w:p>
    <w:p w14:paraId="4CD13030">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6.1.2评标过程中，评标委员会成员有回避事由、擅离职守或者因健康原因不能继续评标的，招标人有权更换。被更换的评标委员会成员作出的评审结论无效，由更换后的评标委员会成员重新进行评审。</w:t>
      </w:r>
    </w:p>
    <w:p w14:paraId="213EC118">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6.2评标原则</w:t>
      </w:r>
    </w:p>
    <w:p w14:paraId="56D62452">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6.2.1评标活动遵循公平、公正、科学和择优的原则。</w:t>
      </w:r>
    </w:p>
    <w:p w14:paraId="5B34F711">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6.3评标会议</w:t>
      </w:r>
    </w:p>
    <w:p w14:paraId="10DEF23C">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6.3.1评标委员会原则上要推选一位组长（招标人代表不得担任评标委员会组长），评标委员会组长负责组织评标工作。</w:t>
      </w:r>
    </w:p>
    <w:p w14:paraId="4F0B9D95">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6.3.2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14:paraId="350E2DCC">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6.3.3评标完成后，评标委员会应当向招标人提交书面评标报告和中标候选人名单。评标委员会推荐中标候选人的人数见投标人须知前附表。</w:t>
      </w:r>
    </w:p>
    <w:p w14:paraId="73179D3A">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6.3.4评标委员会对投标文件作出的评审结论，应当符合有关法律、法规和招标文件的规定。评标委员会成员对所提出的评审意见承担个人责任。</w:t>
      </w:r>
    </w:p>
    <w:p w14:paraId="6DE1B04E">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6.4评标过程的保密</w:t>
      </w:r>
    </w:p>
    <w:p w14:paraId="4802690B">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6.4.1评标会议采用保密方式进行。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14:paraId="2BB9473E">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6.4.2评标工作现场进行全过程录音录像以存档备查。</w:t>
      </w:r>
    </w:p>
    <w:p w14:paraId="232AF0C1">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6.4.3评标过程中招标代理机构与评标委员会各司其责。招标代理机构工作人员在评标委员会专家成员独立评审期间，不得进入评标室。</w:t>
      </w:r>
    </w:p>
    <w:p w14:paraId="3B4938B8">
      <w:pPr>
        <w:snapToGrid w:val="0"/>
        <w:spacing w:line="360" w:lineRule="auto"/>
        <w:jc w:val="center"/>
        <w:outlineLvl w:val="1"/>
        <w:rPr>
          <w:rFonts w:hint="eastAsia" w:ascii="宋体" w:hAnsi="宋体" w:eastAsia="宋体" w:cs="宋体"/>
          <w:bCs/>
          <w:snapToGrid w:val="0"/>
          <w:color w:val="auto"/>
          <w:kern w:val="0"/>
          <w:sz w:val="24"/>
          <w:szCs w:val="24"/>
          <w:highlight w:val="none"/>
        </w:rPr>
      </w:pPr>
      <w:bookmarkStart w:id="52" w:name="_Toc24237"/>
      <w:bookmarkStart w:id="53" w:name="_Toc911"/>
      <w:bookmarkStart w:id="54" w:name="_Toc83886021"/>
      <w:r>
        <w:rPr>
          <w:rFonts w:hint="eastAsia" w:ascii="宋体" w:hAnsi="宋体" w:eastAsia="宋体" w:cs="宋体"/>
          <w:b/>
          <w:snapToGrid w:val="0"/>
          <w:color w:val="auto"/>
          <w:kern w:val="0"/>
          <w:sz w:val="24"/>
          <w:szCs w:val="24"/>
          <w:highlight w:val="none"/>
        </w:rPr>
        <w:t>7、</w:t>
      </w:r>
      <w:bookmarkEnd w:id="52"/>
      <w:r>
        <w:rPr>
          <w:rFonts w:hint="eastAsia" w:ascii="宋体" w:hAnsi="宋体" w:eastAsia="宋体" w:cs="宋体"/>
          <w:b/>
          <w:snapToGrid w:val="0"/>
          <w:color w:val="auto"/>
          <w:kern w:val="0"/>
          <w:sz w:val="24"/>
          <w:szCs w:val="24"/>
          <w:highlight w:val="none"/>
        </w:rPr>
        <w:t>定标</w:t>
      </w:r>
      <w:bookmarkEnd w:id="53"/>
      <w:bookmarkEnd w:id="54"/>
    </w:p>
    <w:p w14:paraId="6418892D">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55" w:name="_Toc18809"/>
      <w:r>
        <w:rPr>
          <w:rFonts w:hint="eastAsia" w:ascii="宋体" w:hAnsi="宋体" w:eastAsia="宋体" w:cs="宋体"/>
          <w:b/>
          <w:bCs/>
          <w:snapToGrid w:val="0"/>
          <w:color w:val="auto"/>
          <w:kern w:val="0"/>
          <w:sz w:val="24"/>
          <w:szCs w:val="24"/>
          <w:highlight w:val="none"/>
        </w:rPr>
        <w:t>7.1中标候选人公示</w:t>
      </w:r>
    </w:p>
    <w:p w14:paraId="33312F42">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7.1.1招标人自收到评标报告之日起3日内按评标报告推荐的中标候选人名单公示中标候选人，公示期不得少于3天（公示期间的最后1天应当为工作日，否则应当将公示期的最后1天顺延至下一个工作日）。</w:t>
      </w:r>
    </w:p>
    <w:p w14:paraId="08DCB035">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bookmarkStart w:id="56" w:name="_bookmark61"/>
      <w:bookmarkEnd w:id="56"/>
      <w:r>
        <w:rPr>
          <w:rFonts w:hint="eastAsia" w:ascii="宋体" w:hAnsi="宋体" w:eastAsia="宋体" w:cs="宋体"/>
          <w:b/>
          <w:bCs/>
          <w:snapToGrid w:val="0"/>
          <w:color w:val="auto"/>
          <w:kern w:val="0"/>
          <w:sz w:val="24"/>
          <w:szCs w:val="24"/>
          <w:highlight w:val="none"/>
        </w:rPr>
        <w:t>7.2定标方式</w:t>
      </w:r>
    </w:p>
    <w:p w14:paraId="31C3BE16">
      <w:pPr>
        <w:pStyle w:val="7"/>
        <w:adjustRightInd w:val="0"/>
        <w:snapToGrid w:val="0"/>
        <w:spacing w:after="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snapToGrid w:val="0"/>
          <w:color w:val="auto"/>
          <w:kern w:val="0"/>
          <w:sz w:val="24"/>
          <w:szCs w:val="24"/>
          <w:highlight w:val="none"/>
        </w:rPr>
        <w:t>7.2.1</w:t>
      </w:r>
      <w:r>
        <w:rPr>
          <w:rFonts w:hint="eastAsia" w:ascii="宋体" w:hAnsi="宋体" w:eastAsia="宋体" w:cs="宋体"/>
          <w:color w:val="auto"/>
          <w:kern w:val="0"/>
          <w:sz w:val="24"/>
          <w:szCs w:val="24"/>
          <w:highlight w:val="none"/>
          <w:lang w:val="zh-CN"/>
        </w:rPr>
        <w:t>定标由招标人负责，原则上应坚持评审小组推荐的第一中标候选人为中标人。</w:t>
      </w:r>
    </w:p>
    <w:p w14:paraId="04B75B2B">
      <w:pPr>
        <w:pStyle w:val="7"/>
        <w:adjustRightInd w:val="0"/>
        <w:snapToGrid w:val="0"/>
        <w:spacing w:after="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但如出现下列情形之一的，招标人将重新组织招标或按中标候选人名单排序依次确定其他中标候选人为中标人，也可以重新招标：</w:t>
      </w:r>
    </w:p>
    <w:p w14:paraId="77121EA6">
      <w:pPr>
        <w:pStyle w:val="7"/>
        <w:adjustRightInd w:val="0"/>
        <w:snapToGrid w:val="0"/>
        <w:spacing w:after="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（1）排名第一的中标候选人放弃中标、因不可抗力不能履行合同、不按照招标文件要求提交履约保证金的、拒绝签订合同的；</w:t>
      </w:r>
    </w:p>
    <w:p w14:paraId="32C9DA74">
      <w:pPr>
        <w:pStyle w:val="7"/>
        <w:adjustRightInd w:val="0"/>
        <w:snapToGrid w:val="0"/>
        <w:spacing w:after="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（2）质疑成立的、被查实存在影响中标结果的违法行为等情形，不符合中标条件的。</w:t>
      </w:r>
    </w:p>
    <w:p w14:paraId="06D0E248">
      <w:pPr>
        <w:pStyle w:val="7"/>
        <w:adjustRightInd w:val="0"/>
        <w:snapToGrid w:val="0"/>
        <w:spacing w:after="0"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第一中标候选人的经营、财务状况发生较大变化或者存在违法行为，招标人认为可能影响其履约能力的，应当在发出中标通知书前由原评标委员会按照招标文件规定的标准和方法审查确认。</w:t>
      </w:r>
    </w:p>
    <w:p w14:paraId="0DD27B7A">
      <w:pPr>
        <w:pStyle w:val="7"/>
        <w:rPr>
          <w:rFonts w:hint="eastAsia" w:ascii="宋体" w:hAnsi="宋体" w:eastAsia="宋体" w:cs="宋体"/>
          <w:b/>
          <w:bCs/>
          <w:snapToGrid w:val="0"/>
          <w:color w:val="auto"/>
          <w:kern w:val="0"/>
          <w:sz w:val="24"/>
          <w:szCs w:val="24"/>
          <w:highlight w:val="none"/>
        </w:rPr>
      </w:pPr>
      <w:bookmarkStart w:id="57" w:name="_bookmark63"/>
      <w:bookmarkEnd w:id="57"/>
      <w:bookmarkStart w:id="58" w:name="_bookmark64"/>
      <w:bookmarkEnd w:id="58"/>
      <w:r>
        <w:rPr>
          <w:rFonts w:hint="eastAsia" w:ascii="宋体" w:hAnsi="宋体" w:eastAsia="宋体" w:cs="宋体"/>
          <w:b/>
          <w:bCs/>
          <w:snapToGrid w:val="0"/>
          <w:color w:val="auto"/>
          <w:kern w:val="0"/>
          <w:sz w:val="24"/>
          <w:szCs w:val="24"/>
          <w:highlight w:val="none"/>
        </w:rPr>
        <w:t>7.3中标通知</w:t>
      </w:r>
    </w:p>
    <w:p w14:paraId="4A4785F4">
      <w:pPr>
        <w:pStyle w:val="7"/>
        <w:adjustRightInd w:val="0"/>
        <w:snapToGrid w:val="0"/>
        <w:spacing w:after="0" w:line="360" w:lineRule="auto"/>
        <w:ind w:firstLine="480" w:firstLineChars="200"/>
        <w:jc w:val="left"/>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7.3.1中标候选人公示期满，经招标人决标批准，</w:t>
      </w:r>
      <w:r>
        <w:rPr>
          <w:rFonts w:hint="eastAsia" w:ascii="宋体" w:hAnsi="宋体" w:eastAsia="宋体" w:cs="宋体"/>
          <w:b/>
          <w:snapToGrid w:val="0"/>
          <w:color w:val="auto"/>
          <w:kern w:val="0"/>
          <w:sz w:val="24"/>
          <w:szCs w:val="24"/>
          <w:highlight w:val="none"/>
        </w:rPr>
        <w:t>确定中标人</w:t>
      </w:r>
      <w:r>
        <w:rPr>
          <w:rFonts w:hint="eastAsia" w:ascii="宋体" w:hAnsi="宋体" w:eastAsia="宋体" w:cs="宋体"/>
          <w:snapToGrid w:val="0"/>
          <w:color w:val="auto"/>
          <w:kern w:val="0"/>
          <w:sz w:val="24"/>
          <w:szCs w:val="24"/>
          <w:highlight w:val="none"/>
        </w:rPr>
        <w:t>，在本章第4.10.1项规定的投标有效期内，招标人以书面形式向中标人发出中标通知书。</w:t>
      </w:r>
    </w:p>
    <w:p w14:paraId="5050AD60">
      <w:pPr>
        <w:snapToGrid w:val="0"/>
        <w:spacing w:line="360" w:lineRule="auto"/>
        <w:jc w:val="center"/>
        <w:outlineLvl w:val="1"/>
        <w:rPr>
          <w:rFonts w:hint="eastAsia" w:ascii="宋体" w:hAnsi="宋体" w:eastAsia="宋体" w:cs="宋体"/>
          <w:bCs/>
          <w:snapToGrid w:val="0"/>
          <w:color w:val="auto"/>
          <w:kern w:val="0"/>
          <w:sz w:val="24"/>
          <w:szCs w:val="24"/>
          <w:highlight w:val="none"/>
        </w:rPr>
      </w:pPr>
      <w:bookmarkStart w:id="59" w:name="_bookmark66"/>
      <w:bookmarkEnd w:id="59"/>
      <w:bookmarkStart w:id="60" w:name="_Toc83886022"/>
      <w:bookmarkStart w:id="61" w:name="_Toc6008"/>
      <w:r>
        <w:rPr>
          <w:rFonts w:hint="eastAsia" w:ascii="宋体" w:hAnsi="宋体" w:eastAsia="宋体" w:cs="宋体"/>
          <w:b/>
          <w:snapToGrid w:val="0"/>
          <w:color w:val="auto"/>
          <w:kern w:val="0"/>
          <w:sz w:val="24"/>
          <w:szCs w:val="24"/>
          <w:highlight w:val="none"/>
        </w:rPr>
        <w:t>8、合同的授予</w:t>
      </w:r>
      <w:bookmarkEnd w:id="60"/>
      <w:bookmarkEnd w:id="61"/>
    </w:p>
    <w:p w14:paraId="0AE3973C">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8.1签订合同</w:t>
      </w:r>
    </w:p>
    <w:p w14:paraId="4D8EEF19">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8.1.1招标人和中标人应当在中标通知书发出之日起30日内，根据招标文件和中标人的投标文件订立书面合同。中标人无正当理由拒签合同，在签订合同时向招标人提出附加条件，或者不按照招标文件要求提交履约保证金的，以违约处理，招标人有权取消其中标资格，其投标保证金不予退回，已交履约保证金的，履约保证金不予退还</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给招标人造成的损失超过投标保证金数额的，中标人还应当对超过部分予以赔偿。</w:t>
      </w:r>
    </w:p>
    <w:p w14:paraId="30C60B70">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8.1.2发出中标通知书后，招标人无正当理由拒签合同，或者在签订合同时向中标人提出附加条件的，招标人向中标人退还投标保证金；给中标人造成损失的，还应当赔偿损失。</w:t>
      </w:r>
    </w:p>
    <w:p w14:paraId="44053BA8">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8.1.3联合体中标的，联合体各方应当共同与招标人签订合同，就中标项目向招标人承担连带责任。</w:t>
      </w:r>
    </w:p>
    <w:p w14:paraId="260B4872">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8.2履约保证金</w:t>
      </w:r>
    </w:p>
    <w:p w14:paraId="43FE4AD5">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8.2.1在签订合同前，中标人应按投标人须知前附表规定的形式、金额和招标文件第六章“合同条款及格式”规定的或者事先经过招标人书面认可的履约保证金格式向招标人提交履约保证金。除投标人须知前附表另有规定外，履约保证金不超过中标合同金额的10%。联合体中标的，其履约保证金以联合体中牵头人的名义提交。</w:t>
      </w:r>
    </w:p>
    <w:p w14:paraId="79458B3A">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8.2.2中标人不能按本章第8.2.1项要求提交履约保证金的，视为放弃中标，其投标保证金不予退还，给招标人造成的损失超过投标保证金数额的，中标人还应当对超过部分予以赔偿。</w:t>
      </w:r>
    </w:p>
    <w:p w14:paraId="0E675EBA">
      <w:pPr>
        <w:snapToGrid w:val="0"/>
        <w:spacing w:line="360" w:lineRule="auto"/>
        <w:jc w:val="center"/>
        <w:outlineLvl w:val="1"/>
        <w:rPr>
          <w:rFonts w:hint="eastAsia" w:ascii="宋体" w:hAnsi="宋体" w:eastAsia="宋体" w:cs="宋体"/>
          <w:b/>
          <w:snapToGrid w:val="0"/>
          <w:color w:val="auto"/>
          <w:kern w:val="0"/>
          <w:sz w:val="24"/>
          <w:szCs w:val="24"/>
          <w:highlight w:val="none"/>
        </w:rPr>
      </w:pPr>
      <w:bookmarkStart w:id="62" w:name="_Toc11806"/>
      <w:bookmarkStart w:id="63" w:name="_Toc219809801"/>
      <w:bookmarkStart w:id="64" w:name="_Toc220123241"/>
      <w:bookmarkStart w:id="65" w:name="_Toc12528"/>
      <w:bookmarkStart w:id="66" w:name="_Toc83886023"/>
      <w:r>
        <w:rPr>
          <w:rFonts w:hint="eastAsia" w:ascii="宋体" w:hAnsi="宋体" w:eastAsia="宋体" w:cs="宋体"/>
          <w:b/>
          <w:snapToGrid w:val="0"/>
          <w:color w:val="auto"/>
          <w:kern w:val="0"/>
          <w:sz w:val="24"/>
          <w:szCs w:val="24"/>
          <w:highlight w:val="none"/>
        </w:rPr>
        <w:t>9、</w:t>
      </w:r>
      <w:bookmarkEnd w:id="62"/>
      <w:bookmarkEnd w:id="63"/>
      <w:bookmarkEnd w:id="64"/>
      <w:r>
        <w:rPr>
          <w:rFonts w:hint="eastAsia" w:ascii="宋体" w:hAnsi="宋体" w:eastAsia="宋体" w:cs="宋体"/>
          <w:b/>
          <w:snapToGrid w:val="0"/>
          <w:color w:val="auto"/>
          <w:kern w:val="0"/>
          <w:sz w:val="24"/>
          <w:szCs w:val="24"/>
          <w:highlight w:val="none"/>
        </w:rPr>
        <w:t>招标失败</w:t>
      </w:r>
      <w:bookmarkEnd w:id="65"/>
      <w:bookmarkEnd w:id="66"/>
      <w:bookmarkStart w:id="67" w:name="_Toc15553"/>
      <w:bookmarkStart w:id="68" w:name="_Toc220123242"/>
      <w:bookmarkStart w:id="69" w:name="_Toc219809802"/>
    </w:p>
    <w:p w14:paraId="10FB265A">
      <w:pPr>
        <w:snapToGrid w:val="0"/>
        <w:spacing w:line="360" w:lineRule="auto"/>
        <w:rPr>
          <w:rFonts w:hint="eastAsia" w:ascii="宋体" w:hAnsi="宋体" w:eastAsia="宋体" w:cs="宋体"/>
          <w:b/>
          <w:bCs/>
          <w:snapToGrid w:val="0"/>
          <w:color w:val="auto"/>
          <w:kern w:val="0"/>
          <w:sz w:val="24"/>
          <w:szCs w:val="24"/>
          <w:highlight w:val="none"/>
        </w:rPr>
      </w:pPr>
      <w:bookmarkStart w:id="70" w:name="_Toc21538"/>
      <w:r>
        <w:rPr>
          <w:rFonts w:hint="eastAsia" w:ascii="宋体" w:hAnsi="宋体" w:eastAsia="宋体" w:cs="宋体"/>
          <w:b/>
          <w:bCs/>
          <w:snapToGrid w:val="0"/>
          <w:color w:val="auto"/>
          <w:kern w:val="0"/>
          <w:sz w:val="24"/>
          <w:szCs w:val="24"/>
          <w:highlight w:val="none"/>
        </w:rPr>
        <w:t>9.1 招标</w:t>
      </w:r>
      <w:bookmarkEnd w:id="67"/>
      <w:bookmarkEnd w:id="68"/>
      <w:bookmarkEnd w:id="69"/>
      <w:r>
        <w:rPr>
          <w:rFonts w:hint="eastAsia" w:ascii="宋体" w:hAnsi="宋体" w:eastAsia="宋体" w:cs="宋体"/>
          <w:b/>
          <w:bCs/>
          <w:snapToGrid w:val="0"/>
          <w:color w:val="auto"/>
          <w:kern w:val="0"/>
          <w:sz w:val="24"/>
          <w:szCs w:val="24"/>
          <w:highlight w:val="none"/>
        </w:rPr>
        <w:t>失败</w:t>
      </w:r>
      <w:bookmarkEnd w:id="70"/>
    </w:p>
    <w:p w14:paraId="10C0E907">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9.1.1有下列情形之一的，本次项目招标失败：</w:t>
      </w:r>
    </w:p>
    <w:p w14:paraId="4474C649">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（1）招标文件的内容不符合法律法规的规定或存在重大缺陷影响潜在投标人投标的；</w:t>
      </w:r>
    </w:p>
    <w:p w14:paraId="59705BD1">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（2）至投标截止时间，投标人数不足3家的；</w:t>
      </w:r>
    </w:p>
    <w:p w14:paraId="75017BD9">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（3）经评标委员会评审后否决所有投标的；</w:t>
      </w:r>
    </w:p>
    <w:p w14:paraId="59E57F18">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（4）中标候选人放弃中标或不符合中标条件，招标人未选择其余中标候选人的。</w:t>
      </w:r>
    </w:p>
    <w:bookmarkEnd w:id="55"/>
    <w:p w14:paraId="05B4F4AD">
      <w:pPr>
        <w:snapToGrid w:val="0"/>
        <w:spacing w:line="360" w:lineRule="auto"/>
        <w:jc w:val="center"/>
        <w:outlineLvl w:val="1"/>
        <w:rPr>
          <w:rFonts w:hint="eastAsia" w:ascii="宋体" w:hAnsi="宋体" w:eastAsia="宋体" w:cs="宋体"/>
          <w:b/>
          <w:snapToGrid w:val="0"/>
          <w:color w:val="auto"/>
          <w:kern w:val="0"/>
          <w:sz w:val="24"/>
          <w:szCs w:val="24"/>
          <w:highlight w:val="none"/>
        </w:rPr>
      </w:pPr>
      <w:bookmarkStart w:id="71" w:name="_bookmark65"/>
      <w:bookmarkEnd w:id="71"/>
      <w:bookmarkStart w:id="72" w:name="_bookmark62"/>
      <w:bookmarkEnd w:id="72"/>
      <w:bookmarkStart w:id="73" w:name="_Toc2986"/>
      <w:bookmarkStart w:id="74" w:name="_Toc220123244"/>
      <w:bookmarkStart w:id="75" w:name="_Toc215941254"/>
      <w:bookmarkStart w:id="76" w:name="_Toc219809804"/>
      <w:bookmarkStart w:id="77" w:name="_Toc3631"/>
      <w:bookmarkStart w:id="78" w:name="_Toc83886024"/>
      <w:r>
        <w:rPr>
          <w:rFonts w:hint="eastAsia" w:ascii="宋体" w:hAnsi="宋体" w:eastAsia="宋体" w:cs="宋体"/>
          <w:b/>
          <w:snapToGrid w:val="0"/>
          <w:color w:val="auto"/>
          <w:kern w:val="0"/>
          <w:sz w:val="24"/>
          <w:szCs w:val="24"/>
          <w:highlight w:val="none"/>
        </w:rPr>
        <w:t>10、异议、投</w:t>
      </w:r>
      <w:bookmarkEnd w:id="73"/>
      <w:bookmarkEnd w:id="74"/>
      <w:bookmarkEnd w:id="75"/>
      <w:bookmarkEnd w:id="76"/>
      <w:r>
        <w:rPr>
          <w:rFonts w:hint="eastAsia" w:ascii="宋体" w:hAnsi="宋体" w:eastAsia="宋体" w:cs="宋体"/>
          <w:b/>
          <w:snapToGrid w:val="0"/>
          <w:color w:val="auto"/>
          <w:kern w:val="0"/>
          <w:sz w:val="24"/>
          <w:szCs w:val="24"/>
          <w:highlight w:val="none"/>
        </w:rPr>
        <w:t>诉、监督</w:t>
      </w:r>
      <w:bookmarkEnd w:id="77"/>
      <w:bookmarkEnd w:id="78"/>
    </w:p>
    <w:p w14:paraId="73C319E1">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10.1异议</w:t>
      </w:r>
    </w:p>
    <w:p w14:paraId="2B9A5727">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10.1.1投标人或者其他利害关系人对招标文件有异议的，应当在投标截止时间10日前以书面形式提出。招标人应当自收到异议之日起3日内作出答复；作出答复前，将暂停招标投标活动。</w:t>
      </w:r>
    </w:p>
    <w:p w14:paraId="49A577D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10.1.2投标人对开标有异议的，应当在开标会议结束前提出，招标人当场作出答复，并制作记录。</w:t>
      </w:r>
    </w:p>
    <w:p w14:paraId="6342E54C">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10.1.3投标人或者其他利害关系人对评标结果有异议的，应当在中标候选人公示期间提出。招标人将在收到异议之日起3日内作出答复；作出答复前，将暂停招标投标活动。</w:t>
      </w:r>
    </w:p>
    <w:p w14:paraId="48DBCECE">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10.1.4异议书须包括以下内容（加盖单位公章）：</w:t>
      </w:r>
    </w:p>
    <w:p w14:paraId="5CC16F68">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（1）异议人的名称、地址、邮政编码、联系人、联系电话，以及被异议人名称及联系方式；</w:t>
      </w:r>
    </w:p>
    <w:p w14:paraId="35FE3302">
      <w:pPr>
        <w:pStyle w:val="48"/>
        <w:numPr>
          <w:ilvl w:val="0"/>
          <w:numId w:val="3"/>
        </w:numPr>
        <w:spacing w:line="360" w:lineRule="auto"/>
        <w:ind w:firstLine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被异议采购项目名称、编号及采购内容；</w:t>
      </w:r>
    </w:p>
    <w:p w14:paraId="5390F59D">
      <w:pPr>
        <w:pStyle w:val="48"/>
        <w:numPr>
          <w:ilvl w:val="0"/>
          <w:numId w:val="3"/>
        </w:numPr>
        <w:spacing w:line="360" w:lineRule="auto"/>
        <w:ind w:firstLine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具体的异议事项及事实依据；</w:t>
      </w:r>
    </w:p>
    <w:p w14:paraId="1E3F2F33">
      <w:pPr>
        <w:pStyle w:val="48"/>
        <w:numPr>
          <w:ilvl w:val="0"/>
          <w:numId w:val="3"/>
        </w:numPr>
        <w:spacing w:line="360" w:lineRule="auto"/>
        <w:ind w:firstLine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认为自己合法权益受到损害或可能受到损害的相关证据材料；</w:t>
      </w:r>
    </w:p>
    <w:p w14:paraId="51D2F35F">
      <w:pPr>
        <w:pStyle w:val="48"/>
        <w:numPr>
          <w:ilvl w:val="0"/>
          <w:numId w:val="3"/>
        </w:numPr>
        <w:spacing w:line="360" w:lineRule="auto"/>
        <w:ind w:firstLine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提出异议的日期。</w:t>
      </w:r>
    </w:p>
    <w:p w14:paraId="6806C3BF">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color w:val="auto"/>
          <w:sz w:val="24"/>
          <w:szCs w:val="24"/>
          <w:highlight w:val="none"/>
          <w:lang w:val="en-US" w:eastAsia="zh-CN" w:bidi="ar"/>
        </w:rPr>
        <w:t>投标人如未按照上述要求提交异议书，招标人（招标代理机构）有权要求投标人对材料予以修改，逾期未提交或未按照要求提交的异议函，招标人（招标代理机构）将不予受理。</w:t>
      </w:r>
    </w:p>
    <w:p w14:paraId="144539C0">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10.2投诉</w:t>
      </w:r>
    </w:p>
    <w:p w14:paraId="217C4E84">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10.2.1投标人或者其他利害关系人认为招标投标活动不符合法律、行政法规规定的，可以自知道或者应当知道之日起10日内向监督</w:t>
      </w:r>
      <w:r>
        <w:rPr>
          <w:rFonts w:hint="eastAsia" w:ascii="宋体" w:hAnsi="宋体" w:eastAsia="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投诉。投诉应当有明确的请求和必要的证明材料。</w:t>
      </w:r>
    </w:p>
    <w:p w14:paraId="0D10394A">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10.2.2投标人或者其他利害关系人对招标文件、开标和评标结果提出投诉的，应当按照投标人须知第10.1款的规定先向招标人提出异议。异议答复期间不计算在第10.2.1项规定的期限内。</w:t>
      </w:r>
    </w:p>
    <w:p w14:paraId="364441BC">
      <w:pPr>
        <w:pStyle w:val="7"/>
        <w:adjustRightInd w:val="0"/>
        <w:snapToGrid w:val="0"/>
        <w:spacing w:after="0"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10.2.3因有异议，招标人具有最终解释权，并对由此而引起的对投标人的影响不承担责任，也不解释原因。</w:t>
      </w:r>
    </w:p>
    <w:p w14:paraId="691A8DC2">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10.3纪律和监督</w:t>
      </w:r>
    </w:p>
    <w:p w14:paraId="17A6C14D">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10.3.1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14:paraId="1B183BA9">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bookmarkStart w:id="79" w:name="_bookmark69"/>
      <w:bookmarkEnd w:id="79"/>
      <w:r>
        <w:rPr>
          <w:rFonts w:hint="eastAsia" w:ascii="宋体" w:hAnsi="宋体" w:eastAsia="宋体" w:cs="宋体"/>
          <w:snapToGrid w:val="0"/>
          <w:color w:val="auto"/>
          <w:kern w:val="0"/>
          <w:sz w:val="24"/>
          <w:szCs w:val="24"/>
          <w:highlight w:val="none"/>
        </w:rPr>
        <w:t>10.3.2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80" w:name="_bookmark70"/>
      <w:bookmarkEnd w:id="80"/>
    </w:p>
    <w:p w14:paraId="10BA5451">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10.3.3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14:paraId="68662758">
      <w:pPr>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bookmarkStart w:id="81" w:name="_bookmark71"/>
      <w:bookmarkEnd w:id="81"/>
      <w:r>
        <w:rPr>
          <w:rFonts w:hint="eastAsia" w:ascii="宋体" w:hAnsi="宋体" w:eastAsia="宋体" w:cs="宋体"/>
          <w:snapToGrid w:val="0"/>
          <w:color w:val="auto"/>
          <w:kern w:val="0"/>
          <w:sz w:val="24"/>
          <w:szCs w:val="24"/>
          <w:highlight w:val="none"/>
        </w:rPr>
        <w:t>10.3.4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3351009">
      <w:pPr>
        <w:snapToGrid w:val="0"/>
        <w:spacing w:line="360" w:lineRule="auto"/>
        <w:jc w:val="center"/>
        <w:outlineLvl w:val="1"/>
        <w:rPr>
          <w:rFonts w:hint="eastAsia" w:ascii="宋体" w:hAnsi="宋体" w:eastAsia="宋体" w:cs="宋体"/>
          <w:b/>
          <w:snapToGrid w:val="0"/>
          <w:color w:val="auto"/>
          <w:kern w:val="0"/>
          <w:sz w:val="24"/>
          <w:szCs w:val="24"/>
          <w:highlight w:val="none"/>
        </w:rPr>
      </w:pPr>
      <w:bookmarkStart w:id="82" w:name="_bookmark74"/>
      <w:bookmarkEnd w:id="82"/>
      <w:bookmarkStart w:id="83" w:name="_bookmark72"/>
      <w:bookmarkEnd w:id="83"/>
      <w:bookmarkStart w:id="84" w:name="_bookmark73"/>
      <w:bookmarkEnd w:id="84"/>
      <w:bookmarkStart w:id="85" w:name="_Toc83886025"/>
      <w:bookmarkStart w:id="86" w:name="_Toc24016"/>
      <w:r>
        <w:rPr>
          <w:rFonts w:hint="eastAsia" w:ascii="宋体" w:hAnsi="宋体" w:eastAsia="宋体" w:cs="宋体"/>
          <w:b/>
          <w:snapToGrid w:val="0"/>
          <w:color w:val="auto"/>
          <w:kern w:val="0"/>
          <w:sz w:val="24"/>
          <w:szCs w:val="24"/>
          <w:highlight w:val="none"/>
        </w:rPr>
        <w:t>11、需要补充的其他内容</w:t>
      </w:r>
      <w:bookmarkEnd w:id="85"/>
      <w:bookmarkEnd w:id="86"/>
    </w:p>
    <w:p w14:paraId="2284A9CC">
      <w:pPr>
        <w:keepNext/>
        <w:keepLines/>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11.1需要补充的其他内容</w:t>
      </w:r>
    </w:p>
    <w:p w14:paraId="5060FFBF">
      <w:pPr>
        <w:adjustRightInd w:val="0"/>
        <w:snapToGrid w:val="0"/>
        <w:spacing w:line="360" w:lineRule="auto"/>
        <w:ind w:firstLine="480" w:firstLineChars="20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11.1.1需要补充的其他内容：见投标人须知前附表。</w:t>
      </w:r>
    </w:p>
    <w:p w14:paraId="729C4227">
      <w:pPr>
        <w:pStyle w:val="2"/>
        <w:numPr>
          <w:ilvl w:val="0"/>
          <w:numId w:val="4"/>
        </w:numPr>
        <w:tabs>
          <w:tab w:val="left" w:pos="2544"/>
          <w:tab w:val="center" w:pos="4320"/>
        </w:tabs>
        <w:adjustRightInd w:val="0"/>
        <w:snapToGrid w:val="0"/>
        <w:spacing w:before="0" w:after="0" w:line="360" w:lineRule="auto"/>
        <w:jc w:val="center"/>
        <w:rPr>
          <w:rFonts w:hint="eastAsia" w:ascii="宋体" w:hAnsi="宋体" w:eastAsia="宋体" w:cs="宋体"/>
          <w:b w:val="0"/>
          <w:bCs/>
          <w:color w:val="auto"/>
          <w:sz w:val="32"/>
          <w:highlight w:val="none"/>
        </w:rPr>
      </w:pPr>
      <w:r>
        <w:rPr>
          <w:rFonts w:hint="eastAsia" w:ascii="宋体" w:hAnsi="宋体" w:eastAsia="宋体" w:cs="宋体"/>
          <w:b w:val="0"/>
          <w:bCs/>
          <w:color w:val="auto"/>
          <w:sz w:val="32"/>
          <w:highlight w:val="none"/>
        </w:rPr>
        <w:br w:type="page"/>
      </w:r>
      <w:r>
        <w:rPr>
          <w:rFonts w:hint="eastAsia" w:ascii="宋体" w:hAnsi="宋体" w:eastAsia="宋体" w:cs="宋体"/>
          <w:b w:val="0"/>
          <w:bCs/>
          <w:color w:val="auto"/>
          <w:sz w:val="32"/>
          <w:highlight w:val="none"/>
        </w:rPr>
        <w:t xml:space="preserve"> </w:t>
      </w:r>
      <w:r>
        <w:rPr>
          <w:rFonts w:hint="eastAsia" w:ascii="宋体" w:hAnsi="宋体" w:eastAsia="宋体" w:cs="宋体"/>
          <w:b w:val="0"/>
          <w:bCs/>
          <w:color w:val="auto"/>
          <w:sz w:val="32"/>
          <w:highlight w:val="none"/>
          <w:lang w:val="en-US" w:eastAsia="zh-CN"/>
        </w:rPr>
        <w:t>用户需求及技术要求</w:t>
      </w:r>
    </w:p>
    <w:p w14:paraId="5042577E">
      <w:pPr>
        <w:spacing w:line="360" w:lineRule="auto"/>
        <w:ind w:right="74" w:firstLine="437"/>
        <w:contextualSpacing/>
        <w:rPr>
          <w:rFonts w:hint="eastAsia" w:ascii="宋体" w:hAnsi="宋体" w:eastAsia="宋体" w:cs="宋体"/>
          <w:b/>
          <w:bCs/>
          <w:color w:val="000000"/>
          <w:spacing w:val="9"/>
          <w:sz w:val="24"/>
          <w:szCs w:val="24"/>
        </w:rPr>
      </w:pPr>
      <w:bookmarkStart w:id="87" w:name="_Toc101294409"/>
      <w:bookmarkStart w:id="88" w:name="_Toc101294479"/>
      <w:bookmarkStart w:id="89" w:name="_Toc26319"/>
      <w:bookmarkStart w:id="90" w:name="_Toc83886029"/>
      <w:r>
        <w:rPr>
          <w:rFonts w:hint="eastAsia" w:ascii="宋体" w:hAnsi="宋体" w:eastAsia="宋体" w:cs="宋体"/>
          <w:b/>
          <w:bCs/>
          <w:color w:val="000000"/>
          <w:spacing w:val="9"/>
          <w:sz w:val="24"/>
          <w:szCs w:val="24"/>
        </w:rPr>
        <w:t>一、总体要求</w:t>
      </w:r>
    </w:p>
    <w:p w14:paraId="49645442">
      <w:pPr>
        <w:spacing w:line="360" w:lineRule="auto"/>
        <w:ind w:right="74" w:firstLine="437"/>
        <w:contextualSpacing/>
        <w:jc w:val="both"/>
        <w:rPr>
          <w:rFonts w:hint="eastAsia" w:ascii="宋体" w:hAnsi="宋体" w:eastAsia="宋体" w:cs="宋体"/>
          <w:color w:val="000000"/>
          <w:spacing w:val="9"/>
          <w:sz w:val="24"/>
          <w:szCs w:val="24"/>
        </w:rPr>
      </w:pPr>
      <w:r>
        <w:rPr>
          <w:rFonts w:hint="eastAsia" w:ascii="宋体" w:hAnsi="宋体" w:eastAsia="宋体" w:cs="宋体"/>
          <w:color w:val="000000"/>
          <w:spacing w:val="9"/>
          <w:sz w:val="24"/>
          <w:szCs w:val="24"/>
        </w:rPr>
        <w:t>1、本次招标采购的</w:t>
      </w:r>
      <w:r>
        <w:rPr>
          <w:rFonts w:hint="eastAsia" w:ascii="宋体" w:hAnsi="宋体" w:eastAsia="宋体" w:cs="宋体"/>
          <w:color w:val="000000"/>
          <w:spacing w:val="9"/>
          <w:sz w:val="24"/>
          <w:szCs w:val="24"/>
          <w:lang w:val="en-US" w:eastAsia="zh-CN"/>
        </w:rPr>
        <w:t>片碱</w:t>
      </w:r>
      <w:r>
        <w:rPr>
          <w:rFonts w:hint="eastAsia" w:ascii="宋体" w:hAnsi="宋体" w:eastAsia="宋体" w:cs="宋体"/>
          <w:color w:val="000000"/>
          <w:spacing w:val="9"/>
          <w:sz w:val="24"/>
          <w:szCs w:val="24"/>
        </w:rPr>
        <w:t>的基本参数、成分和质量等必须符合最新国家和行业有关标准要求。</w:t>
      </w:r>
    </w:p>
    <w:p w14:paraId="3B0C1B30">
      <w:pPr>
        <w:spacing w:line="360" w:lineRule="auto"/>
        <w:ind w:right="74" w:firstLine="437"/>
        <w:contextualSpacing/>
        <w:jc w:val="both"/>
        <w:rPr>
          <w:rFonts w:hint="eastAsia" w:ascii="宋体" w:hAnsi="宋体" w:eastAsia="宋体" w:cs="宋体"/>
          <w:color w:val="000000"/>
          <w:spacing w:val="9"/>
          <w:sz w:val="24"/>
          <w:szCs w:val="24"/>
        </w:rPr>
      </w:pPr>
      <w:r>
        <w:rPr>
          <w:rFonts w:hint="eastAsia" w:ascii="宋体" w:hAnsi="宋体" w:eastAsia="宋体" w:cs="宋体"/>
          <w:color w:val="000000"/>
          <w:spacing w:val="9"/>
          <w:sz w:val="24"/>
          <w:szCs w:val="24"/>
        </w:rPr>
        <w:t>2、当招标文件中的相关描述或要求与最新国家和行业有关标准不符时，投标人须及时与招标人联系，并协助招标人更改相关描述或要求。</w:t>
      </w:r>
    </w:p>
    <w:p w14:paraId="2778C3B7">
      <w:pPr>
        <w:spacing w:line="360" w:lineRule="auto"/>
        <w:ind w:right="74" w:firstLine="437"/>
        <w:contextualSpacing/>
        <w:jc w:val="both"/>
        <w:rPr>
          <w:rFonts w:hint="eastAsia" w:ascii="宋体" w:hAnsi="宋体" w:eastAsia="宋体" w:cs="宋体"/>
          <w:color w:val="000000"/>
          <w:spacing w:val="9"/>
          <w:sz w:val="24"/>
          <w:szCs w:val="24"/>
        </w:rPr>
      </w:pPr>
      <w:r>
        <w:rPr>
          <w:rFonts w:hint="eastAsia" w:ascii="宋体" w:hAnsi="宋体" w:eastAsia="宋体" w:cs="宋体"/>
          <w:color w:val="000000"/>
          <w:spacing w:val="9"/>
          <w:sz w:val="24"/>
          <w:szCs w:val="24"/>
        </w:rPr>
        <w:t>3、本次招标中标单位1家。</w:t>
      </w:r>
    </w:p>
    <w:p w14:paraId="6F2429A1">
      <w:pPr>
        <w:spacing w:line="360" w:lineRule="auto"/>
        <w:ind w:right="74" w:firstLine="437"/>
        <w:contextualSpacing/>
        <w:rPr>
          <w:rFonts w:hint="eastAsia" w:ascii="宋体" w:hAnsi="宋体" w:eastAsia="宋体" w:cs="宋体"/>
          <w:b/>
          <w:bCs/>
          <w:color w:val="000000"/>
          <w:spacing w:val="9"/>
          <w:sz w:val="24"/>
          <w:szCs w:val="24"/>
        </w:rPr>
      </w:pPr>
      <w:r>
        <w:rPr>
          <w:rFonts w:hint="eastAsia" w:ascii="宋体" w:hAnsi="宋体" w:eastAsia="宋体" w:cs="宋体"/>
          <w:b/>
          <w:bCs/>
          <w:color w:val="000000"/>
          <w:spacing w:val="9"/>
          <w:sz w:val="24"/>
          <w:szCs w:val="24"/>
        </w:rPr>
        <w:t>二、质量评价指标</w:t>
      </w:r>
    </w:p>
    <w:tbl>
      <w:tblPr>
        <w:tblStyle w:val="2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961"/>
        <w:gridCol w:w="2079"/>
        <w:gridCol w:w="1424"/>
        <w:gridCol w:w="1316"/>
        <w:gridCol w:w="1597"/>
      </w:tblGrid>
      <w:tr w14:paraId="4F05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90" w:type="pct"/>
            <w:noWrap w:val="0"/>
            <w:vAlign w:val="center"/>
          </w:tcPr>
          <w:p w14:paraId="772A3F3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名称</w:t>
            </w:r>
          </w:p>
        </w:tc>
        <w:tc>
          <w:tcPr>
            <w:tcW w:w="985" w:type="pct"/>
            <w:noWrap w:val="0"/>
            <w:vAlign w:val="center"/>
          </w:tcPr>
          <w:p w14:paraId="081FCD26">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技术参数</w:t>
            </w:r>
          </w:p>
        </w:tc>
        <w:tc>
          <w:tcPr>
            <w:tcW w:w="1044" w:type="pct"/>
            <w:noWrap w:val="0"/>
            <w:vAlign w:val="center"/>
          </w:tcPr>
          <w:p w14:paraId="3363B97B">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采购人</w:t>
            </w:r>
          </w:p>
        </w:tc>
        <w:tc>
          <w:tcPr>
            <w:tcW w:w="715" w:type="pct"/>
            <w:noWrap w:val="0"/>
            <w:vAlign w:val="center"/>
          </w:tcPr>
          <w:p w14:paraId="28218BC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预估数量（吨）</w:t>
            </w:r>
          </w:p>
        </w:tc>
        <w:tc>
          <w:tcPr>
            <w:tcW w:w="661" w:type="pct"/>
            <w:noWrap w:val="0"/>
            <w:vAlign w:val="center"/>
          </w:tcPr>
          <w:p w14:paraId="53D8B4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单价最高限价</w:t>
            </w:r>
          </w:p>
          <w:p w14:paraId="500710A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（元/吨）</w:t>
            </w:r>
          </w:p>
        </w:tc>
        <w:tc>
          <w:tcPr>
            <w:tcW w:w="802" w:type="pct"/>
            <w:noWrap w:val="0"/>
            <w:vAlign w:val="center"/>
          </w:tcPr>
          <w:p w14:paraId="7A815AD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备注</w:t>
            </w:r>
          </w:p>
        </w:tc>
      </w:tr>
      <w:tr w14:paraId="5D34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790" w:type="pct"/>
            <w:vMerge w:val="restart"/>
            <w:noWrap w:val="0"/>
            <w:vAlign w:val="center"/>
          </w:tcPr>
          <w:p w14:paraId="3EE778ED">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片碱（固体</w:t>
            </w:r>
            <w:r>
              <w:rPr>
                <w:rFonts w:hint="eastAsia" w:ascii="宋体" w:hAnsi="宋体" w:eastAsia="宋体" w:cs="宋体"/>
                <w:bCs/>
                <w:color w:val="000000"/>
                <w:sz w:val="24"/>
                <w:szCs w:val="24"/>
                <w:lang w:val="en-US" w:eastAsia="zh-CN"/>
              </w:rPr>
              <w:t>工业用氢氧化钠</w:t>
            </w:r>
            <w:r>
              <w:rPr>
                <w:rFonts w:hint="eastAsia" w:ascii="宋体" w:hAnsi="宋体" w:eastAsia="宋体" w:cs="宋体"/>
                <w:color w:val="000000"/>
                <w:sz w:val="24"/>
                <w:szCs w:val="24"/>
                <w:lang w:val="en-US" w:eastAsia="zh-CN"/>
              </w:rPr>
              <w:t>）</w:t>
            </w:r>
          </w:p>
        </w:tc>
        <w:tc>
          <w:tcPr>
            <w:tcW w:w="985" w:type="pct"/>
            <w:vMerge w:val="restart"/>
            <w:noWrap w:val="0"/>
            <w:vAlign w:val="center"/>
          </w:tcPr>
          <w:p w14:paraId="59FD8B91">
            <w:pPr>
              <w:spacing w:line="360" w:lineRule="auto"/>
              <w:jc w:val="center"/>
              <w:rPr>
                <w:rFonts w:hint="eastAsia" w:ascii="宋体" w:hAnsi="宋体" w:eastAsia="宋体" w:cs="宋体"/>
                <w:color w:val="000000"/>
                <w:sz w:val="24"/>
                <w:szCs w:val="24"/>
              </w:rPr>
            </w:pPr>
            <w:r>
              <w:rPr>
                <w:rFonts w:hint="eastAsia" w:ascii="宋体" w:hAnsi="宋体" w:eastAsia="宋体" w:cs="宋体"/>
                <w:i w:val="0"/>
                <w:iCs w:val="0"/>
                <w:color w:val="000000"/>
                <w:kern w:val="2"/>
                <w:sz w:val="24"/>
                <w:szCs w:val="24"/>
                <w:u w:val="none"/>
                <w:lang w:val="en-US" w:eastAsia="zh-CN" w:bidi="ar-SA"/>
              </w:rPr>
              <w:t>25KG/袋，氢氧化钠</w:t>
            </w:r>
            <w:r>
              <w:rPr>
                <w:rFonts w:hint="eastAsia" w:ascii="宋体" w:hAnsi="宋体" w:eastAsia="宋体" w:cs="宋体"/>
                <w:i w:val="0"/>
                <w:iCs w:val="0"/>
                <w:color w:val="000000"/>
                <w:kern w:val="2"/>
                <w:sz w:val="24"/>
                <w:szCs w:val="24"/>
                <w:highlight w:val="none"/>
                <w:u w:val="none"/>
                <w:lang w:val="en-US" w:eastAsia="zh-CN" w:bidi="ar-SA"/>
              </w:rPr>
              <w:t>含量</w:t>
            </w:r>
            <w:r>
              <w:rPr>
                <w:rFonts w:hint="eastAsia" w:ascii="宋体" w:hAnsi="宋体" w:eastAsia="宋体" w:cs="宋体"/>
                <w:i w:val="0"/>
                <w:iCs w:val="0"/>
                <w:color w:val="000000"/>
                <w:kern w:val="2"/>
                <w:sz w:val="24"/>
                <w:szCs w:val="24"/>
                <w:u w:val="none"/>
                <w:lang w:val="en-US" w:eastAsia="zh-CN" w:bidi="ar-SA"/>
              </w:rPr>
              <w:t>≥98%，</w:t>
            </w:r>
            <w:r>
              <w:rPr>
                <w:rFonts w:hint="eastAsia" w:ascii="宋体" w:hAnsi="宋体" w:eastAsia="宋体" w:cs="宋体"/>
                <w:color w:val="000000"/>
                <w:sz w:val="24"/>
                <w:szCs w:val="24"/>
              </w:rPr>
              <w:t>质量</w:t>
            </w:r>
            <w:r>
              <w:rPr>
                <w:rFonts w:hint="eastAsia" w:ascii="宋体" w:hAnsi="宋体" w:eastAsia="宋体" w:cs="宋体"/>
                <w:color w:val="000000"/>
                <w:sz w:val="24"/>
                <w:szCs w:val="24"/>
                <w:lang w:val="en-US" w:eastAsia="zh-CN"/>
              </w:rPr>
              <w:t>符合</w:t>
            </w:r>
            <w:r>
              <w:rPr>
                <w:rFonts w:hint="eastAsia" w:ascii="宋体" w:hAnsi="宋体" w:eastAsia="宋体" w:cs="宋体"/>
                <w:color w:val="000000"/>
                <w:sz w:val="24"/>
                <w:szCs w:val="24"/>
              </w:rPr>
              <w:t>国家标准GB/T209-2018</w:t>
            </w:r>
            <w:r>
              <w:rPr>
                <w:rFonts w:hint="eastAsia" w:ascii="宋体" w:hAnsi="宋体" w:eastAsia="宋体" w:cs="宋体"/>
                <w:i w:val="0"/>
                <w:iCs w:val="0"/>
                <w:color w:val="000000"/>
                <w:kern w:val="2"/>
                <w:sz w:val="24"/>
                <w:szCs w:val="24"/>
                <w:u w:val="none"/>
                <w:lang w:val="en-US" w:eastAsia="zh-CN" w:bidi="ar-SA"/>
              </w:rPr>
              <w:t>表1中IS Ⅰ类标准。</w:t>
            </w:r>
          </w:p>
        </w:tc>
        <w:tc>
          <w:tcPr>
            <w:tcW w:w="1044" w:type="pct"/>
            <w:noWrap w:val="0"/>
            <w:vAlign w:val="center"/>
          </w:tcPr>
          <w:p w14:paraId="33C231C6">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杭州市环境集团有限公司-物流分公司</w:t>
            </w:r>
          </w:p>
        </w:tc>
        <w:tc>
          <w:tcPr>
            <w:tcW w:w="715" w:type="pct"/>
            <w:noWrap w:val="0"/>
            <w:vAlign w:val="center"/>
          </w:tcPr>
          <w:p w14:paraId="12B05C78">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4.8</w:t>
            </w:r>
          </w:p>
        </w:tc>
        <w:tc>
          <w:tcPr>
            <w:tcW w:w="661" w:type="pct"/>
            <w:noWrap w:val="0"/>
            <w:vAlign w:val="center"/>
          </w:tcPr>
          <w:p w14:paraId="22D8ED2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6300</w:t>
            </w:r>
          </w:p>
        </w:tc>
        <w:tc>
          <w:tcPr>
            <w:tcW w:w="802" w:type="pct"/>
            <w:noWrap w:val="0"/>
            <w:vAlign w:val="center"/>
          </w:tcPr>
          <w:p w14:paraId="0B153CC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天子岭减量综合体2.4吨；之江减量综合体2.4吨。</w:t>
            </w:r>
          </w:p>
        </w:tc>
      </w:tr>
      <w:tr w14:paraId="47DD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0" w:type="pct"/>
            <w:vMerge w:val="continue"/>
            <w:noWrap w:val="0"/>
            <w:vAlign w:val="center"/>
          </w:tcPr>
          <w:p w14:paraId="64570617">
            <w:pPr>
              <w:spacing w:line="360" w:lineRule="auto"/>
              <w:jc w:val="center"/>
              <w:rPr>
                <w:rFonts w:hint="eastAsia" w:ascii="宋体" w:hAnsi="宋体" w:eastAsia="宋体" w:cs="宋体"/>
                <w:color w:val="000000"/>
                <w:sz w:val="24"/>
                <w:szCs w:val="24"/>
              </w:rPr>
            </w:pPr>
          </w:p>
        </w:tc>
        <w:tc>
          <w:tcPr>
            <w:tcW w:w="985" w:type="pct"/>
            <w:vMerge w:val="continue"/>
            <w:noWrap w:val="0"/>
            <w:vAlign w:val="center"/>
          </w:tcPr>
          <w:p w14:paraId="299B9594">
            <w:pPr>
              <w:spacing w:line="360" w:lineRule="auto"/>
              <w:jc w:val="center"/>
              <w:rPr>
                <w:rFonts w:hint="eastAsia" w:ascii="宋体" w:hAnsi="宋体" w:eastAsia="宋体" w:cs="宋体"/>
                <w:color w:val="000000"/>
                <w:sz w:val="24"/>
                <w:szCs w:val="24"/>
              </w:rPr>
            </w:pPr>
          </w:p>
        </w:tc>
        <w:tc>
          <w:tcPr>
            <w:tcW w:w="1044" w:type="pct"/>
            <w:noWrap w:val="0"/>
            <w:vAlign w:val="center"/>
          </w:tcPr>
          <w:p w14:paraId="7AEA125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color w:val="000000"/>
                <w:sz w:val="24"/>
                <w:szCs w:val="24"/>
                <w:lang w:val="en-US" w:eastAsia="zh-CN"/>
              </w:rPr>
              <w:t>杭州市环境集团有限公司-资源化利用事业部</w:t>
            </w:r>
          </w:p>
        </w:tc>
        <w:tc>
          <w:tcPr>
            <w:tcW w:w="715" w:type="pct"/>
            <w:noWrap w:val="0"/>
            <w:vAlign w:val="center"/>
          </w:tcPr>
          <w:p w14:paraId="7E2B3E68">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bCs/>
                <w:color w:val="000000"/>
                <w:sz w:val="24"/>
                <w:szCs w:val="24"/>
                <w:lang w:val="en-US" w:eastAsia="zh-CN"/>
              </w:rPr>
              <w:t>15</w:t>
            </w:r>
          </w:p>
        </w:tc>
        <w:tc>
          <w:tcPr>
            <w:tcW w:w="661" w:type="pct"/>
            <w:noWrap w:val="0"/>
            <w:vAlign w:val="center"/>
          </w:tcPr>
          <w:p w14:paraId="44B9035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6300</w:t>
            </w:r>
          </w:p>
        </w:tc>
        <w:tc>
          <w:tcPr>
            <w:tcW w:w="802" w:type="pct"/>
            <w:noWrap w:val="0"/>
            <w:vAlign w:val="center"/>
          </w:tcPr>
          <w:p w14:paraId="1883E3AF">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r>
      <w:tr w14:paraId="306E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790" w:type="pct"/>
            <w:vMerge w:val="continue"/>
            <w:noWrap w:val="0"/>
            <w:vAlign w:val="center"/>
          </w:tcPr>
          <w:p w14:paraId="10D7C697">
            <w:pPr>
              <w:spacing w:line="360" w:lineRule="auto"/>
              <w:jc w:val="center"/>
              <w:rPr>
                <w:rFonts w:hint="eastAsia" w:ascii="宋体" w:hAnsi="宋体" w:eastAsia="宋体" w:cs="宋体"/>
                <w:color w:val="000000"/>
                <w:sz w:val="24"/>
                <w:szCs w:val="24"/>
              </w:rPr>
            </w:pPr>
          </w:p>
        </w:tc>
        <w:tc>
          <w:tcPr>
            <w:tcW w:w="985" w:type="pct"/>
            <w:vMerge w:val="continue"/>
            <w:noWrap w:val="0"/>
            <w:vAlign w:val="center"/>
          </w:tcPr>
          <w:p w14:paraId="0042019C">
            <w:pPr>
              <w:spacing w:line="360" w:lineRule="auto"/>
              <w:jc w:val="center"/>
              <w:rPr>
                <w:rFonts w:hint="eastAsia" w:ascii="宋体" w:hAnsi="宋体" w:eastAsia="宋体" w:cs="宋体"/>
                <w:color w:val="000000"/>
                <w:sz w:val="24"/>
                <w:szCs w:val="24"/>
              </w:rPr>
            </w:pPr>
          </w:p>
        </w:tc>
        <w:tc>
          <w:tcPr>
            <w:tcW w:w="1044" w:type="pct"/>
            <w:noWrap w:val="0"/>
            <w:vAlign w:val="center"/>
          </w:tcPr>
          <w:p w14:paraId="3C57ADC7">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bCs/>
                <w:color w:val="000000"/>
                <w:sz w:val="24"/>
                <w:szCs w:val="24"/>
                <w:lang w:val="en-US" w:eastAsia="zh-CN"/>
              </w:rPr>
            </w:pPr>
            <w:r>
              <w:rPr>
                <w:rFonts w:hint="eastAsia" w:ascii="宋体" w:hAnsi="宋体" w:eastAsia="宋体" w:cs="宋体"/>
                <w:color w:val="000000"/>
                <w:kern w:val="2"/>
                <w:sz w:val="24"/>
                <w:szCs w:val="24"/>
                <w:lang w:val="en-US" w:eastAsia="zh-CN" w:bidi="ar-SA"/>
              </w:rPr>
              <w:t>杭州萧山环城生物能源有限公司</w:t>
            </w:r>
          </w:p>
        </w:tc>
        <w:tc>
          <w:tcPr>
            <w:tcW w:w="715" w:type="pct"/>
            <w:noWrap w:val="0"/>
            <w:vAlign w:val="center"/>
          </w:tcPr>
          <w:p w14:paraId="3BC14874">
            <w:pPr>
              <w:spacing w:line="360" w:lineRule="auto"/>
              <w:jc w:val="center"/>
              <w:rPr>
                <w:rFonts w:hint="eastAsia" w:ascii="宋体" w:hAnsi="宋体" w:eastAsia="宋体" w:cs="宋体"/>
                <w:color w:val="000000"/>
                <w:sz w:val="24"/>
                <w:szCs w:val="24"/>
                <w:lang w:val="en-US"/>
              </w:rPr>
            </w:pPr>
            <w:r>
              <w:rPr>
                <w:rFonts w:hint="eastAsia" w:ascii="宋体" w:hAnsi="宋体" w:eastAsia="宋体" w:cs="宋体"/>
                <w:bCs/>
                <w:color w:val="000000"/>
                <w:sz w:val="24"/>
                <w:szCs w:val="24"/>
                <w:lang w:val="en-US" w:eastAsia="zh-CN"/>
              </w:rPr>
              <w:t>20</w:t>
            </w:r>
          </w:p>
        </w:tc>
        <w:tc>
          <w:tcPr>
            <w:tcW w:w="661" w:type="pct"/>
            <w:noWrap w:val="0"/>
            <w:vAlign w:val="center"/>
          </w:tcPr>
          <w:p w14:paraId="7509A24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6300</w:t>
            </w:r>
          </w:p>
        </w:tc>
        <w:tc>
          <w:tcPr>
            <w:tcW w:w="802" w:type="pct"/>
            <w:noWrap w:val="0"/>
            <w:vAlign w:val="center"/>
          </w:tcPr>
          <w:p w14:paraId="0836AC6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r>
      <w:tr w14:paraId="7E8C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90" w:type="pct"/>
            <w:vMerge w:val="continue"/>
            <w:noWrap w:val="0"/>
            <w:vAlign w:val="center"/>
          </w:tcPr>
          <w:p w14:paraId="1AD86E28">
            <w:pPr>
              <w:spacing w:line="360" w:lineRule="auto"/>
              <w:jc w:val="center"/>
              <w:rPr>
                <w:rFonts w:hint="eastAsia" w:ascii="宋体" w:hAnsi="宋体" w:eastAsia="宋体" w:cs="宋体"/>
                <w:color w:val="000000"/>
                <w:sz w:val="24"/>
                <w:szCs w:val="24"/>
              </w:rPr>
            </w:pPr>
          </w:p>
        </w:tc>
        <w:tc>
          <w:tcPr>
            <w:tcW w:w="985" w:type="pct"/>
            <w:vMerge w:val="continue"/>
            <w:noWrap w:val="0"/>
            <w:vAlign w:val="center"/>
          </w:tcPr>
          <w:p w14:paraId="52080D9B">
            <w:pPr>
              <w:spacing w:line="360" w:lineRule="auto"/>
              <w:jc w:val="center"/>
              <w:rPr>
                <w:rFonts w:hint="eastAsia" w:ascii="宋体" w:hAnsi="宋体" w:eastAsia="宋体" w:cs="宋体"/>
                <w:color w:val="000000"/>
                <w:sz w:val="24"/>
                <w:szCs w:val="24"/>
              </w:rPr>
            </w:pPr>
          </w:p>
        </w:tc>
        <w:tc>
          <w:tcPr>
            <w:tcW w:w="1044" w:type="pct"/>
            <w:noWrap w:val="0"/>
            <w:vAlign w:val="center"/>
          </w:tcPr>
          <w:p w14:paraId="231205B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杭州环临环境发展有限公司</w:t>
            </w:r>
          </w:p>
        </w:tc>
        <w:tc>
          <w:tcPr>
            <w:tcW w:w="715" w:type="pct"/>
            <w:noWrap w:val="0"/>
            <w:vAlign w:val="center"/>
          </w:tcPr>
          <w:p w14:paraId="4BD394B7">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661" w:type="pct"/>
            <w:noWrap w:val="0"/>
            <w:vAlign w:val="center"/>
          </w:tcPr>
          <w:p w14:paraId="22716B1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6300</w:t>
            </w:r>
          </w:p>
        </w:tc>
        <w:tc>
          <w:tcPr>
            <w:tcW w:w="802" w:type="pct"/>
            <w:noWrap w:val="0"/>
            <w:vAlign w:val="center"/>
          </w:tcPr>
          <w:p w14:paraId="609B2FD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r>
    </w:tbl>
    <w:p w14:paraId="3F380FE1">
      <w:pPr>
        <w:spacing w:line="360" w:lineRule="auto"/>
        <w:ind w:right="74" w:firstLine="518" w:firstLineChars="200"/>
        <w:contextualSpacing/>
        <w:rPr>
          <w:rFonts w:hint="eastAsia" w:ascii="宋体" w:hAnsi="宋体" w:eastAsia="宋体" w:cs="宋体"/>
          <w:color w:val="000000"/>
          <w:spacing w:val="9"/>
          <w:sz w:val="24"/>
          <w:szCs w:val="24"/>
        </w:rPr>
      </w:pPr>
      <w:r>
        <w:rPr>
          <w:rFonts w:hint="eastAsia" w:ascii="宋体" w:hAnsi="宋体" w:eastAsia="宋体" w:cs="宋体"/>
          <w:b/>
          <w:bCs/>
          <w:color w:val="000000"/>
          <w:spacing w:val="9"/>
          <w:sz w:val="24"/>
          <w:szCs w:val="24"/>
        </w:rPr>
        <w:t>三、供货要求</w:t>
      </w:r>
    </w:p>
    <w:p w14:paraId="475AD9B1">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1.供货期：1年。</w:t>
      </w:r>
      <w:r>
        <w:rPr>
          <w:rFonts w:hint="eastAsia" w:ascii="宋体" w:hAnsi="宋体" w:eastAsia="宋体" w:cs="宋体"/>
          <w:color w:val="000000"/>
          <w:spacing w:val="9"/>
          <w:sz w:val="24"/>
          <w:szCs w:val="24"/>
          <w:lang w:val="en-US" w:eastAsia="zh-CN"/>
        </w:rPr>
        <w:t>具体供货时间以采购人需求为准。</w:t>
      </w:r>
    </w:p>
    <w:p w14:paraId="6A3CCA84">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2</w:t>
      </w:r>
      <w:r>
        <w:rPr>
          <w:rFonts w:hint="eastAsia" w:ascii="宋体" w:hAnsi="宋体" w:eastAsia="宋体" w:cs="宋体"/>
          <w:b w:val="0"/>
          <w:bCs w:val="0"/>
          <w:color w:val="000000"/>
          <w:spacing w:val="9"/>
          <w:sz w:val="24"/>
          <w:szCs w:val="24"/>
        </w:rPr>
        <w:t>、送货</w:t>
      </w:r>
      <w:r>
        <w:rPr>
          <w:rFonts w:hint="eastAsia" w:ascii="宋体" w:hAnsi="宋体" w:eastAsia="宋体" w:cs="宋体"/>
          <w:b w:val="0"/>
          <w:bCs w:val="0"/>
          <w:color w:val="000000"/>
          <w:spacing w:val="9"/>
          <w:sz w:val="24"/>
          <w:szCs w:val="24"/>
          <w:lang w:val="en-US" w:eastAsia="zh-CN"/>
        </w:rPr>
        <w:t>要求：</w:t>
      </w:r>
    </w:p>
    <w:p w14:paraId="6D9C4779">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（1）送货</w:t>
      </w:r>
      <w:r>
        <w:rPr>
          <w:rFonts w:hint="eastAsia" w:ascii="宋体" w:hAnsi="宋体" w:eastAsia="宋体" w:cs="宋体"/>
          <w:b w:val="0"/>
          <w:bCs w:val="0"/>
          <w:color w:val="000000"/>
          <w:spacing w:val="9"/>
          <w:sz w:val="24"/>
          <w:szCs w:val="24"/>
        </w:rPr>
        <w:t>频次</w:t>
      </w:r>
      <w:r>
        <w:rPr>
          <w:rFonts w:hint="eastAsia" w:ascii="宋体" w:hAnsi="宋体" w:eastAsia="宋体" w:cs="宋体"/>
          <w:b w:val="0"/>
          <w:bCs w:val="0"/>
          <w:color w:val="000000"/>
          <w:spacing w:val="9"/>
          <w:sz w:val="24"/>
          <w:szCs w:val="24"/>
          <w:lang w:val="en-US" w:eastAsia="zh-CN"/>
        </w:rPr>
        <w:t>及到货时间</w:t>
      </w:r>
      <w:r>
        <w:rPr>
          <w:rFonts w:hint="eastAsia" w:ascii="宋体" w:hAnsi="宋体" w:eastAsia="宋体" w:cs="宋体"/>
          <w:b w:val="0"/>
          <w:bCs w:val="0"/>
          <w:color w:val="000000"/>
          <w:spacing w:val="9"/>
          <w:sz w:val="24"/>
          <w:szCs w:val="24"/>
        </w:rPr>
        <w:t>：</w:t>
      </w:r>
      <w:r>
        <w:rPr>
          <w:rFonts w:hint="eastAsia" w:ascii="宋体" w:hAnsi="宋体" w:eastAsia="宋体" w:cs="宋体"/>
          <w:b w:val="0"/>
          <w:bCs w:val="0"/>
          <w:color w:val="000000"/>
          <w:spacing w:val="9"/>
          <w:sz w:val="24"/>
          <w:szCs w:val="24"/>
          <w:lang w:val="en-US" w:eastAsia="zh-CN"/>
        </w:rPr>
        <w:t>按需供货，具体送货时间、送货数量以采购人通知为准，自接到采购人通知后，7日内将所需货物安全送到采购人指定地点；应急采购的，中标人自接到采购人通知3日内将所需货物安全送到采购人指定地点。</w:t>
      </w:r>
    </w:p>
    <w:p w14:paraId="3F96915B">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2）运输要求：货物由中标人负责装卸、运输。使用符合国家规定的专用车辆运输，运输车辆不得混运酸性物品，运输过程须遵守国家相关运输管理规定、避免包装损坏、受潮、污染，运输过程中出现的一切问题皆由中标人负责。中标人负责货物到场的卸货工作，随车应配备人员防护用品，并对卸货过程中的环境安全负责。</w:t>
      </w:r>
    </w:p>
    <w:p w14:paraId="7A9CF472">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eastAsia="zh-CN"/>
        </w:rPr>
        <w:t>（</w:t>
      </w:r>
      <w:r>
        <w:rPr>
          <w:rFonts w:hint="eastAsia" w:ascii="宋体" w:hAnsi="宋体" w:eastAsia="宋体" w:cs="宋体"/>
          <w:b w:val="0"/>
          <w:bCs w:val="0"/>
          <w:color w:val="000000"/>
          <w:spacing w:val="9"/>
          <w:sz w:val="24"/>
          <w:szCs w:val="24"/>
          <w:lang w:val="en-US" w:eastAsia="zh-CN"/>
        </w:rPr>
        <w:t>3）送货地点：</w:t>
      </w:r>
      <w:r>
        <w:rPr>
          <w:rFonts w:hint="eastAsia" w:ascii="宋体" w:hAnsi="宋体" w:eastAsia="宋体" w:cs="宋体"/>
          <w:b w:val="0"/>
          <w:bCs w:val="0"/>
          <w:color w:val="000000"/>
          <w:spacing w:val="9"/>
          <w:sz w:val="24"/>
          <w:szCs w:val="24"/>
        </w:rPr>
        <w:t>每次送货</w:t>
      </w:r>
      <w:r>
        <w:rPr>
          <w:rFonts w:hint="eastAsia" w:ascii="宋体" w:hAnsi="宋体" w:eastAsia="宋体" w:cs="宋体"/>
          <w:b w:val="0"/>
          <w:bCs w:val="0"/>
          <w:color w:val="000000"/>
          <w:spacing w:val="9"/>
          <w:sz w:val="24"/>
          <w:szCs w:val="24"/>
          <w:lang w:val="en-US" w:eastAsia="zh-CN"/>
        </w:rPr>
        <w:t>中标人</w:t>
      </w:r>
      <w:r>
        <w:rPr>
          <w:rFonts w:hint="eastAsia" w:ascii="宋体" w:hAnsi="宋体" w:eastAsia="宋体" w:cs="宋体"/>
          <w:b w:val="0"/>
          <w:bCs w:val="0"/>
          <w:color w:val="000000"/>
          <w:spacing w:val="9"/>
          <w:sz w:val="24"/>
          <w:szCs w:val="24"/>
        </w:rPr>
        <w:t>必须有专人到现场，按照</w:t>
      </w:r>
      <w:r>
        <w:rPr>
          <w:rFonts w:hint="eastAsia" w:ascii="宋体" w:hAnsi="宋体" w:eastAsia="宋体" w:cs="宋体"/>
          <w:b w:val="0"/>
          <w:bCs w:val="0"/>
          <w:color w:val="000000"/>
          <w:spacing w:val="9"/>
          <w:sz w:val="24"/>
          <w:szCs w:val="24"/>
          <w:lang w:val="en-US" w:eastAsia="zh-CN"/>
        </w:rPr>
        <w:t>采购人</w:t>
      </w:r>
      <w:r>
        <w:rPr>
          <w:rFonts w:hint="eastAsia" w:ascii="宋体" w:hAnsi="宋体" w:eastAsia="宋体" w:cs="宋体"/>
          <w:b w:val="0"/>
          <w:bCs w:val="0"/>
          <w:color w:val="000000"/>
          <w:spacing w:val="9"/>
          <w:sz w:val="24"/>
          <w:szCs w:val="24"/>
        </w:rPr>
        <w:t>要求卸在指定位置。</w:t>
      </w:r>
      <w:r>
        <w:rPr>
          <w:rFonts w:hint="eastAsia" w:ascii="宋体" w:hAnsi="宋体" w:eastAsia="宋体" w:cs="宋体"/>
          <w:b w:val="0"/>
          <w:bCs w:val="0"/>
          <w:color w:val="000000"/>
          <w:spacing w:val="9"/>
          <w:sz w:val="24"/>
          <w:szCs w:val="24"/>
          <w:lang w:val="en-US" w:eastAsia="zh-CN"/>
        </w:rPr>
        <w:t>运输、卸货、停放必须遵守釆购人场内车辆、人员管理规定，做到有序排队进园区、有序停放、安全运输、走备案路线、安全卸货、服从指挥。地址如下：</w:t>
      </w:r>
    </w:p>
    <w:p w14:paraId="666A67FE">
      <w:pPr>
        <w:pStyle w:val="16"/>
        <w:spacing w:after="0" w:line="360" w:lineRule="auto"/>
        <w:ind w:firstLine="518" w:firstLineChars="200"/>
        <w:jc w:val="both"/>
        <w:rPr>
          <w:rFonts w:hint="eastAsia" w:ascii="宋体" w:hAnsi="宋体" w:eastAsia="宋体" w:cs="宋体"/>
          <w:b/>
          <w:bCs/>
          <w:color w:val="000000"/>
          <w:spacing w:val="9"/>
          <w:sz w:val="24"/>
          <w:szCs w:val="24"/>
          <w:lang w:val="en-US" w:eastAsia="zh-CN"/>
        </w:rPr>
      </w:pPr>
      <w:r>
        <w:rPr>
          <w:rFonts w:hint="eastAsia" w:ascii="宋体" w:hAnsi="宋体" w:eastAsia="宋体" w:cs="宋体"/>
          <w:b/>
          <w:bCs/>
          <w:color w:val="000000"/>
          <w:spacing w:val="9"/>
          <w:sz w:val="24"/>
          <w:szCs w:val="24"/>
          <w:lang w:val="en-US" w:eastAsia="zh-CN"/>
        </w:rPr>
        <w:t>1）杭州市环境集团有限公司物流分公司送货地址：</w:t>
      </w:r>
    </w:p>
    <w:p w14:paraId="27AE3237">
      <w:pPr>
        <w:pStyle w:val="16"/>
        <w:spacing w:after="0" w:line="360" w:lineRule="auto"/>
        <w:ind w:firstLine="518" w:firstLineChars="200"/>
        <w:jc w:val="both"/>
        <w:rPr>
          <w:rFonts w:hint="eastAsia" w:ascii="宋体" w:hAnsi="宋体" w:eastAsia="宋体" w:cs="宋体"/>
          <w:b/>
          <w:bCs/>
          <w:color w:val="000000"/>
          <w:spacing w:val="9"/>
          <w:sz w:val="24"/>
          <w:szCs w:val="24"/>
          <w:lang w:val="en-US" w:eastAsia="zh-CN"/>
        </w:rPr>
      </w:pPr>
      <w:r>
        <w:rPr>
          <w:rFonts w:hint="eastAsia" w:ascii="宋体" w:hAnsi="宋体" w:eastAsia="宋体" w:cs="宋体"/>
          <w:b/>
          <w:bCs/>
          <w:color w:val="000000"/>
          <w:spacing w:val="9"/>
          <w:sz w:val="24"/>
          <w:szCs w:val="24"/>
          <w:lang w:val="en-US" w:eastAsia="zh-CN"/>
        </w:rPr>
        <w:t>天子岭减量综合体（杭州市拱墅区临半路138-1号），送货量约为2.4</w:t>
      </w:r>
      <w:r>
        <w:rPr>
          <w:rFonts w:hint="eastAsia" w:ascii="宋体" w:hAnsi="宋体" w:eastAsia="宋体" w:cs="宋体"/>
          <w:b/>
          <w:bCs/>
          <w:color w:val="000000"/>
          <w:spacing w:val="9"/>
          <w:sz w:val="24"/>
          <w:szCs w:val="24"/>
        </w:rPr>
        <w:t>吨</w:t>
      </w:r>
      <w:r>
        <w:rPr>
          <w:rFonts w:hint="eastAsia" w:ascii="宋体" w:hAnsi="宋体" w:eastAsia="宋体" w:cs="宋体"/>
          <w:b/>
          <w:bCs/>
          <w:color w:val="000000"/>
          <w:spacing w:val="9"/>
          <w:sz w:val="24"/>
          <w:szCs w:val="24"/>
          <w:lang w:val="en-US" w:eastAsia="zh-CN"/>
        </w:rPr>
        <w:t>；</w:t>
      </w:r>
    </w:p>
    <w:p w14:paraId="66A3D626">
      <w:pPr>
        <w:pStyle w:val="16"/>
        <w:spacing w:after="0" w:line="360" w:lineRule="auto"/>
        <w:ind w:firstLine="518" w:firstLineChars="200"/>
        <w:jc w:val="both"/>
        <w:rPr>
          <w:rFonts w:hint="eastAsia" w:ascii="宋体" w:hAnsi="宋体" w:eastAsia="宋体" w:cs="宋体"/>
          <w:b/>
          <w:bCs/>
          <w:color w:val="000000"/>
          <w:spacing w:val="9"/>
          <w:sz w:val="24"/>
          <w:szCs w:val="24"/>
          <w:lang w:val="en-US" w:eastAsia="zh-CN"/>
        </w:rPr>
      </w:pPr>
      <w:r>
        <w:rPr>
          <w:rFonts w:hint="eastAsia" w:ascii="宋体" w:hAnsi="宋体" w:eastAsia="宋体" w:cs="宋体"/>
          <w:b/>
          <w:bCs/>
          <w:color w:val="000000"/>
          <w:spacing w:val="9"/>
          <w:sz w:val="24"/>
          <w:szCs w:val="24"/>
          <w:lang w:val="en-US" w:eastAsia="zh-CN"/>
        </w:rPr>
        <w:t>之江分类减量综合体（杭州市西湖区转塘街道云河巷1号），送货量约为2.4</w:t>
      </w:r>
      <w:r>
        <w:rPr>
          <w:rFonts w:hint="eastAsia" w:ascii="宋体" w:hAnsi="宋体" w:eastAsia="宋体" w:cs="宋体"/>
          <w:b/>
          <w:bCs/>
          <w:color w:val="000000"/>
          <w:spacing w:val="9"/>
          <w:sz w:val="24"/>
          <w:szCs w:val="24"/>
        </w:rPr>
        <w:t>吨</w:t>
      </w:r>
      <w:r>
        <w:rPr>
          <w:rFonts w:hint="eastAsia" w:ascii="宋体" w:hAnsi="宋体" w:eastAsia="宋体" w:cs="宋体"/>
          <w:b/>
          <w:bCs/>
          <w:color w:val="000000"/>
          <w:spacing w:val="9"/>
          <w:sz w:val="24"/>
          <w:szCs w:val="24"/>
          <w:lang w:val="en-US" w:eastAsia="zh-CN"/>
        </w:rPr>
        <w:t>；</w:t>
      </w:r>
    </w:p>
    <w:p w14:paraId="54044623">
      <w:pPr>
        <w:spacing w:line="360" w:lineRule="auto"/>
        <w:ind w:firstLine="518" w:firstLineChars="200"/>
        <w:rPr>
          <w:rFonts w:hint="eastAsia" w:ascii="宋体" w:hAnsi="宋体" w:eastAsia="宋体" w:cs="宋体"/>
          <w:b/>
          <w:bCs/>
          <w:snapToGrid/>
          <w:color w:val="000000"/>
          <w:spacing w:val="9"/>
          <w:sz w:val="24"/>
          <w:szCs w:val="24"/>
          <w:lang w:val="en-US" w:eastAsia="zh-CN" w:bidi="ar-SA"/>
        </w:rPr>
      </w:pPr>
      <w:r>
        <w:rPr>
          <w:rFonts w:hint="eastAsia" w:ascii="宋体" w:hAnsi="宋体" w:eastAsia="宋体" w:cs="宋体"/>
          <w:b/>
          <w:bCs/>
          <w:snapToGrid/>
          <w:color w:val="000000"/>
          <w:spacing w:val="9"/>
          <w:sz w:val="24"/>
          <w:szCs w:val="24"/>
          <w:lang w:val="en-US" w:eastAsia="zh-CN" w:bidi="ar-SA"/>
        </w:rPr>
        <w:t>以上两个站点一次性送货，共4.8吨。</w:t>
      </w:r>
    </w:p>
    <w:p w14:paraId="37B1C553">
      <w:pPr>
        <w:pStyle w:val="16"/>
        <w:spacing w:after="0" w:line="360" w:lineRule="auto"/>
        <w:ind w:firstLine="518" w:firstLineChars="200"/>
        <w:jc w:val="both"/>
        <w:rPr>
          <w:rFonts w:hint="eastAsia" w:ascii="宋体" w:hAnsi="宋体" w:eastAsia="宋体" w:cs="宋体"/>
          <w:b/>
          <w:bCs/>
          <w:color w:val="000000"/>
          <w:spacing w:val="9"/>
          <w:sz w:val="24"/>
          <w:szCs w:val="24"/>
          <w:lang w:val="en-US" w:eastAsia="zh-CN"/>
        </w:rPr>
      </w:pPr>
      <w:r>
        <w:rPr>
          <w:rFonts w:hint="eastAsia" w:ascii="宋体" w:hAnsi="宋体" w:eastAsia="宋体" w:cs="宋体"/>
          <w:b/>
          <w:bCs/>
          <w:color w:val="000000"/>
          <w:spacing w:val="9"/>
          <w:sz w:val="24"/>
          <w:szCs w:val="24"/>
          <w:lang w:val="en-US" w:eastAsia="zh-CN"/>
        </w:rPr>
        <w:t>2）杭州市环境集团有限公司资源化利用事业部送货地址：资源化利用事业部餐厨二期（杭州市拱墅区临半路138-1号），送货约3批次，每次送货量约为5</w:t>
      </w:r>
      <w:r>
        <w:rPr>
          <w:rFonts w:hint="eastAsia" w:ascii="宋体" w:hAnsi="宋体" w:eastAsia="宋体" w:cs="宋体"/>
          <w:b/>
          <w:bCs/>
          <w:color w:val="000000"/>
          <w:spacing w:val="9"/>
          <w:sz w:val="24"/>
          <w:szCs w:val="24"/>
        </w:rPr>
        <w:t>吨</w:t>
      </w:r>
      <w:r>
        <w:rPr>
          <w:rFonts w:hint="eastAsia" w:ascii="宋体" w:hAnsi="宋体" w:eastAsia="宋体" w:cs="宋体"/>
          <w:b/>
          <w:bCs/>
          <w:color w:val="000000"/>
          <w:spacing w:val="9"/>
          <w:sz w:val="24"/>
          <w:szCs w:val="24"/>
          <w:lang w:val="en-US" w:eastAsia="zh-CN"/>
        </w:rPr>
        <w:t>左右；</w:t>
      </w:r>
      <w:r>
        <w:rPr>
          <w:rFonts w:hint="eastAsia" w:ascii="宋体" w:hAnsi="宋体" w:eastAsia="宋体" w:cs="宋体"/>
          <w:b/>
          <w:bCs/>
          <w:color w:val="000000"/>
          <w:spacing w:val="9"/>
          <w:sz w:val="24"/>
          <w:szCs w:val="24"/>
          <w:lang w:val="en-US" w:eastAsia="zh-CN"/>
        </w:rPr>
        <w:tab/>
      </w:r>
    </w:p>
    <w:p w14:paraId="575F59DA">
      <w:pPr>
        <w:pStyle w:val="16"/>
        <w:spacing w:after="0" w:line="360" w:lineRule="auto"/>
        <w:ind w:firstLine="518" w:firstLineChars="200"/>
        <w:jc w:val="both"/>
        <w:rPr>
          <w:rFonts w:hint="eastAsia" w:ascii="宋体" w:hAnsi="宋体" w:eastAsia="宋体" w:cs="宋体"/>
          <w:b/>
          <w:bCs/>
          <w:color w:val="000000"/>
          <w:spacing w:val="9"/>
          <w:sz w:val="24"/>
          <w:szCs w:val="24"/>
          <w:lang w:val="en-US" w:eastAsia="zh-CN"/>
        </w:rPr>
      </w:pPr>
      <w:r>
        <w:rPr>
          <w:rFonts w:hint="eastAsia" w:ascii="宋体" w:hAnsi="宋体" w:eastAsia="宋体" w:cs="宋体"/>
          <w:b/>
          <w:bCs/>
          <w:color w:val="000000"/>
          <w:spacing w:val="9"/>
          <w:sz w:val="24"/>
          <w:szCs w:val="24"/>
          <w:lang w:val="en-US" w:eastAsia="zh-CN"/>
        </w:rPr>
        <w:t>3）萧山环城生物能源有限公司送货地址：杭州市萧山区经济技术开发区钱江农场高新八路698号（1.2.3.4幢），送货约10批次，每次送货量在2吨左右；</w:t>
      </w:r>
    </w:p>
    <w:p w14:paraId="33C119F0">
      <w:pPr>
        <w:pStyle w:val="16"/>
        <w:spacing w:after="0" w:line="360" w:lineRule="auto"/>
        <w:ind w:firstLine="518" w:firstLineChars="200"/>
        <w:jc w:val="both"/>
        <w:rPr>
          <w:rFonts w:hint="eastAsia" w:ascii="宋体" w:hAnsi="宋体" w:eastAsia="宋体" w:cs="宋体"/>
          <w:b/>
          <w:bCs/>
          <w:color w:val="000000"/>
          <w:spacing w:val="9"/>
          <w:sz w:val="24"/>
          <w:szCs w:val="24"/>
          <w:lang w:val="en-US" w:eastAsia="zh-CN"/>
        </w:rPr>
      </w:pPr>
      <w:r>
        <w:rPr>
          <w:rFonts w:hint="eastAsia" w:ascii="宋体" w:hAnsi="宋体" w:eastAsia="宋体" w:cs="宋体"/>
          <w:b/>
          <w:bCs/>
          <w:color w:val="000000"/>
          <w:spacing w:val="9"/>
          <w:sz w:val="24"/>
          <w:szCs w:val="24"/>
          <w:lang w:val="en-US" w:eastAsia="zh-CN"/>
        </w:rPr>
        <w:t>4）杭州环临环境发展有限公司送货地址：杭州市临平区崇贤街道沿山村水洪庙1-4号，送货约5批次，每次送货量为3吨左右。</w:t>
      </w:r>
    </w:p>
    <w:p w14:paraId="6AA3A684">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（具体发货地点及相应的数量以发货前具体通知为准）。</w:t>
      </w:r>
    </w:p>
    <w:p w14:paraId="70B6587C">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产品质量要求：所供货物生产日期应在到货之日的前6个月内，必须符合本项目要求的质量指标（如国家出台新标准则按照新标准执行）并提供对应批次货物的质量证明书（包含生产企业名称、产品名称、规格型号、质量指标、批号或生产日期、执行标准号），提供固体工业用氢氧化钠的化学品安全技术说明书（MSDS）。采购人使用过程中有权对所供货物进行质量检测（包含送有资质的第三方检测机构检测），检测出质量指标不符合采购人要求时中标人需及时进行结果确认并承担相应的责任与后果。质保期为货物验收合格之日起不少于两个月。</w:t>
      </w:r>
    </w:p>
    <w:p w14:paraId="3BE19C93">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4、其他要求：</w:t>
      </w:r>
    </w:p>
    <w:p w14:paraId="1945F06C">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（1）货物在运输、装卸过程中，发生意外事故和故障损失，均由中标人承担责任。</w:t>
      </w:r>
    </w:p>
    <w:p w14:paraId="019092C7">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（2）货物在整个运送过程中产生的一切费用，如货物运费、装卸费用、安全费用、环保费用等全部由中标人负责。</w:t>
      </w:r>
    </w:p>
    <w:p w14:paraId="6F3BA2FB">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（3）中标人必须遵守有关法律法规及采购人的规章制度。否则，中标人应承担相应责任。</w:t>
      </w:r>
    </w:p>
    <w:p w14:paraId="68AC9B8D">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（4）采购人最终以实际验收的供货量进行结算。</w:t>
      </w:r>
    </w:p>
    <w:p w14:paraId="02262FF8">
      <w:pPr>
        <w:spacing w:line="360" w:lineRule="auto"/>
        <w:ind w:right="74" w:firstLine="437"/>
        <w:contextualSpacing/>
        <w:rPr>
          <w:rFonts w:hint="eastAsia" w:ascii="宋体" w:hAnsi="宋体" w:eastAsia="宋体" w:cs="宋体"/>
          <w:sz w:val="24"/>
          <w:szCs w:val="24"/>
          <w:lang w:val="en-US" w:eastAsia="zh-CN"/>
        </w:rPr>
      </w:pPr>
      <w:r>
        <w:rPr>
          <w:rFonts w:hint="eastAsia" w:ascii="宋体" w:hAnsi="宋体" w:eastAsia="宋体" w:cs="宋体"/>
          <w:b/>
          <w:bCs/>
          <w:color w:val="000000"/>
          <w:spacing w:val="9"/>
          <w:sz w:val="24"/>
          <w:szCs w:val="24"/>
        </w:rPr>
        <w:t>▲</w:t>
      </w:r>
      <w:r>
        <w:rPr>
          <w:rFonts w:hint="eastAsia" w:ascii="宋体" w:hAnsi="宋体" w:eastAsia="宋体" w:cs="宋体"/>
          <w:color w:val="000000"/>
          <w:spacing w:val="9"/>
          <w:sz w:val="24"/>
          <w:szCs w:val="24"/>
          <w:lang w:val="en-US" w:eastAsia="zh-CN"/>
        </w:rPr>
        <w:t>（5）</w:t>
      </w:r>
      <w:r>
        <w:rPr>
          <w:rFonts w:hint="eastAsia" w:ascii="宋体" w:hAnsi="宋体" w:eastAsia="宋体" w:cs="宋体"/>
          <w:b/>
          <w:bCs/>
          <w:color w:val="000000"/>
          <w:spacing w:val="9"/>
          <w:sz w:val="24"/>
          <w:szCs w:val="24"/>
          <w:lang w:val="en-US" w:eastAsia="zh-CN"/>
        </w:rPr>
        <w:t>投标人需承诺中标后所供货物的生产厂家与投标时的生产或授权厂家完全一致。投标人违反前述约定的应承担相应责任。</w:t>
      </w:r>
      <w:r>
        <w:rPr>
          <w:rFonts w:hint="eastAsia" w:ascii="宋体" w:hAnsi="宋体" w:eastAsia="宋体" w:cs="宋体"/>
          <w:b/>
          <w:bCs w:val="0"/>
          <w:sz w:val="24"/>
          <w:szCs w:val="24"/>
          <w:highlight w:val="none"/>
          <w:lang w:val="en-US" w:eastAsia="zh-CN"/>
        </w:rPr>
        <w:t>（在投标文件中需作出承诺）</w:t>
      </w:r>
    </w:p>
    <w:p w14:paraId="6392E454">
      <w:pPr>
        <w:pStyle w:val="16"/>
        <w:spacing w:after="0" w:line="360" w:lineRule="auto"/>
        <w:ind w:firstLine="518" w:firstLineChars="200"/>
        <w:jc w:val="both"/>
        <w:rPr>
          <w:rFonts w:hint="eastAsia" w:ascii="宋体" w:hAnsi="宋体" w:eastAsia="宋体" w:cs="宋体"/>
          <w:b/>
          <w:bCs/>
          <w:color w:val="000000"/>
          <w:spacing w:val="9"/>
          <w:sz w:val="24"/>
          <w:szCs w:val="24"/>
        </w:rPr>
      </w:pPr>
      <w:r>
        <w:rPr>
          <w:rFonts w:hint="eastAsia" w:ascii="宋体" w:hAnsi="宋体" w:eastAsia="宋体" w:cs="宋体"/>
          <w:b/>
          <w:bCs/>
          <w:color w:val="000000"/>
          <w:spacing w:val="9"/>
          <w:sz w:val="24"/>
          <w:szCs w:val="24"/>
        </w:rPr>
        <w:t>四、验收要求</w:t>
      </w:r>
    </w:p>
    <w:p w14:paraId="3CFC4651">
      <w:pPr>
        <w:numPr>
          <w:ilvl w:val="0"/>
          <w:numId w:val="5"/>
        </w:numPr>
        <w:spacing w:line="360" w:lineRule="auto"/>
        <w:ind w:right="74" w:firstLine="437"/>
        <w:contextualSpacing/>
        <w:rPr>
          <w:rFonts w:hint="eastAsia" w:ascii="宋体" w:hAnsi="宋体" w:eastAsia="宋体" w:cs="宋体"/>
          <w:color w:val="000000"/>
          <w:spacing w:val="9"/>
          <w:sz w:val="24"/>
          <w:szCs w:val="24"/>
          <w:lang w:val="en-US" w:eastAsia="zh-CN"/>
        </w:rPr>
      </w:pPr>
      <w:r>
        <w:rPr>
          <w:rFonts w:hint="eastAsia" w:ascii="宋体" w:hAnsi="宋体" w:eastAsia="宋体" w:cs="宋体"/>
          <w:b w:val="0"/>
          <w:bCs w:val="0"/>
          <w:color w:val="000000"/>
          <w:spacing w:val="9"/>
          <w:sz w:val="24"/>
          <w:szCs w:val="24"/>
          <w:highlight w:val="none"/>
        </w:rPr>
        <w:t>产品验收分为到货验收和第三方检测验收，产品质量以第三方检测验收结果为准。</w:t>
      </w:r>
      <w:r>
        <w:rPr>
          <w:rFonts w:hint="eastAsia" w:ascii="宋体" w:hAnsi="宋体" w:eastAsia="宋体" w:cs="宋体"/>
          <w:b w:val="0"/>
          <w:bCs w:val="0"/>
          <w:color w:val="000000"/>
          <w:spacing w:val="9"/>
          <w:sz w:val="24"/>
          <w:szCs w:val="24"/>
          <w:highlight w:val="none"/>
          <w:lang w:val="en-US" w:eastAsia="zh-CN"/>
        </w:rPr>
        <w:t>到货验收与第三方检测验收均合格的，视为验收合格；未进行第三方检验的，以到货验收合格为验收合格。</w:t>
      </w:r>
    </w:p>
    <w:p w14:paraId="1EBCA35D">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2.到货验收：采购人、中标人现场对照合同要求对货品的送货清单、质量证明书、安全技术说明书、货物的外观、数量等进行验收，以上均符合采购人要求则初步验收合格；有任一项未通过则初步验收不合格，退货处理，中标人应在12小时内完成重新供货。到货数量以采购人过磅量（双方签字确认）为准，场所无地磅或采购人地磅无法称重的，</w:t>
      </w:r>
      <w:r>
        <w:rPr>
          <w:rFonts w:hint="eastAsia" w:ascii="宋体" w:hAnsi="宋体" w:eastAsia="宋体" w:cs="宋体"/>
          <w:b w:val="0"/>
          <w:bCs w:val="0"/>
          <w:color w:val="000000"/>
          <w:spacing w:val="9"/>
          <w:sz w:val="24"/>
          <w:szCs w:val="24"/>
        </w:rPr>
        <w:t>根据现场规格包数进行随机取部分包数进行称重，平均值</w:t>
      </w:r>
      <w:r>
        <w:rPr>
          <w:rFonts w:hint="eastAsia" w:ascii="宋体" w:hAnsi="宋体" w:eastAsia="宋体" w:cs="宋体"/>
          <w:b w:val="0"/>
          <w:bCs w:val="0"/>
          <w:color w:val="000000"/>
          <w:spacing w:val="9"/>
          <w:sz w:val="24"/>
          <w:szCs w:val="24"/>
          <w:lang w:val="en-US" w:eastAsia="zh-CN"/>
        </w:rPr>
        <w:t>满足包装规格要求的，按照</w:t>
      </w:r>
      <w:r>
        <w:rPr>
          <w:rFonts w:hint="eastAsia" w:ascii="宋体" w:hAnsi="宋体" w:eastAsia="宋体" w:cs="宋体"/>
          <w:b w:val="0"/>
          <w:bCs w:val="0"/>
          <w:color w:val="000000"/>
          <w:spacing w:val="9"/>
          <w:sz w:val="24"/>
          <w:szCs w:val="24"/>
        </w:rPr>
        <w:t>总计包数</w:t>
      </w:r>
      <w:r>
        <w:rPr>
          <w:rFonts w:hint="eastAsia" w:ascii="宋体" w:hAnsi="宋体" w:eastAsia="宋体" w:cs="宋体"/>
          <w:b w:val="0"/>
          <w:bCs w:val="0"/>
          <w:color w:val="000000"/>
          <w:spacing w:val="9"/>
          <w:sz w:val="24"/>
          <w:szCs w:val="24"/>
          <w:lang w:val="en-US" w:eastAsia="zh-CN"/>
        </w:rPr>
        <w:t>*包装规格</w:t>
      </w:r>
      <w:r>
        <w:rPr>
          <w:rFonts w:hint="eastAsia" w:ascii="宋体" w:hAnsi="宋体" w:eastAsia="宋体" w:cs="宋体"/>
          <w:b w:val="0"/>
          <w:bCs w:val="0"/>
          <w:color w:val="000000"/>
          <w:spacing w:val="9"/>
          <w:sz w:val="24"/>
          <w:szCs w:val="24"/>
        </w:rPr>
        <w:t>计量</w:t>
      </w:r>
      <w:r>
        <w:rPr>
          <w:rFonts w:hint="eastAsia" w:ascii="宋体" w:hAnsi="宋体" w:eastAsia="宋体" w:cs="宋体"/>
          <w:b w:val="0"/>
          <w:bCs w:val="0"/>
          <w:color w:val="000000"/>
          <w:spacing w:val="9"/>
          <w:sz w:val="24"/>
          <w:szCs w:val="24"/>
          <w:lang w:val="en-US" w:eastAsia="zh-CN"/>
        </w:rPr>
        <w:t>。采购人到货验收仅对产品的数量及可见外观进行查验，无法判断产品质量及使用效果。本次验收完成后，采购人可入库并先行使用但并不代表且不应视为产品最终验收合格。</w:t>
      </w:r>
    </w:p>
    <w:p w14:paraId="30B3A425">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3.检测验收：采购人有权随机抽样对中标人提供的货物进行送第三方检测机构检测，分析结果将作为质量判定与货款结算依据。检测验收不合格中标人承担相应责任。</w:t>
      </w:r>
    </w:p>
    <w:p w14:paraId="468790D4">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3.1批次的定义：以当天所运货物为一批次。</w:t>
      </w:r>
    </w:p>
    <w:p w14:paraId="24C1B530">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3.2取样：在签订合同时，中标人向采购人以书面形式备案样品取样验收确认人员（中标人出具授权委托书、姓名、身份证号、所属单位），如需更换样品取样验收确认人员，中标人需提前向采购人提交采购人认可的书面更换函。取样时，</w:t>
      </w:r>
      <w:r>
        <w:rPr>
          <w:rFonts w:hint="eastAsia" w:ascii="宋体" w:hAnsi="宋体" w:eastAsia="宋体" w:cs="宋体"/>
          <w:b w:val="0"/>
          <w:bCs w:val="0"/>
          <w:color w:val="000000"/>
          <w:spacing w:val="9"/>
          <w:sz w:val="24"/>
          <w:szCs w:val="24"/>
        </w:rPr>
        <w:t>抽取随机包数样品总计样品质量不少于</w:t>
      </w:r>
      <w:r>
        <w:rPr>
          <w:rFonts w:hint="eastAsia" w:ascii="宋体" w:hAnsi="宋体" w:eastAsia="宋体" w:cs="宋体"/>
          <w:b w:val="0"/>
          <w:bCs w:val="0"/>
          <w:color w:val="000000"/>
          <w:spacing w:val="9"/>
          <w:sz w:val="24"/>
          <w:szCs w:val="24"/>
          <w:lang w:val="en-US" w:eastAsia="zh-CN"/>
        </w:rPr>
        <w:t>3</w:t>
      </w:r>
      <w:r>
        <w:rPr>
          <w:rFonts w:hint="eastAsia" w:ascii="宋体" w:hAnsi="宋体" w:eastAsia="宋体" w:cs="宋体"/>
          <w:b w:val="0"/>
          <w:bCs w:val="0"/>
          <w:color w:val="000000"/>
          <w:spacing w:val="9"/>
          <w:sz w:val="24"/>
          <w:szCs w:val="24"/>
        </w:rPr>
        <w:t>00g</w:t>
      </w:r>
      <w:r>
        <w:rPr>
          <w:rFonts w:hint="eastAsia" w:ascii="宋体" w:hAnsi="宋体" w:eastAsia="宋体" w:cs="宋体"/>
          <w:b w:val="0"/>
          <w:bCs w:val="0"/>
          <w:color w:val="000000"/>
          <w:spacing w:val="9"/>
          <w:sz w:val="24"/>
          <w:szCs w:val="24"/>
          <w:lang w:eastAsia="zh-CN"/>
        </w:rPr>
        <w:t>，</w:t>
      </w:r>
      <w:r>
        <w:rPr>
          <w:rFonts w:hint="eastAsia" w:ascii="宋体" w:hAnsi="宋体" w:eastAsia="宋体" w:cs="宋体"/>
          <w:b w:val="0"/>
          <w:bCs w:val="0"/>
          <w:color w:val="000000"/>
          <w:spacing w:val="9"/>
          <w:sz w:val="24"/>
          <w:szCs w:val="24"/>
          <w:lang w:val="en-US" w:eastAsia="zh-CN"/>
        </w:rPr>
        <w:t>使用洁净干燥的容器，分装2份密封，一份用于检测，一份封存保留30天备用。中标人取样验收确认人员须在采购人货物取样单上签名，如中标人拒绝配合取样，则采购人可以单方取样且视为中标人对采购人取样以及检验结果无异议。</w:t>
      </w:r>
    </w:p>
    <w:p w14:paraId="3FBCF9D3">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3.3第三方检测机构检测：采购人按需不定期（一次性供货的，合同期内检测一次；多次供货的，合同期内不少于两次）对物资进行第三方检测机构送检，第三方检测机构由采购人选择，中标人需认可采购人选择的有资质的检测单位及其出具的检测数据。第三方检测根据国标GB/T209-2018要求对氢氧化钠含量进行检验，检验结果不符合采购人要求时，则判该批产品为不合格产品。如采购人对同批次物资多次送检的，则以最近一次的检验结果为准。不合格产品中标人承担相应退货换货或折价处理责任。</w:t>
      </w:r>
    </w:p>
    <w:p w14:paraId="30F2D680">
      <w:pPr>
        <w:pStyle w:val="16"/>
        <w:spacing w:after="0" w:line="360" w:lineRule="auto"/>
        <w:ind w:firstLine="516" w:firstLineChars="200"/>
        <w:jc w:val="both"/>
        <w:rPr>
          <w:rFonts w:hint="eastAsia" w:ascii="宋体" w:hAnsi="宋体" w:eastAsia="宋体" w:cs="宋体"/>
          <w:b/>
          <w:bCs/>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3.4上述第三方检测机构检测的检测费用，检测合格的由采购人承担，检测不合格的由中标人承担。</w:t>
      </w:r>
    </w:p>
    <w:bookmarkEnd w:id="87"/>
    <w:bookmarkEnd w:id="88"/>
    <w:p w14:paraId="3815DF6A">
      <w:pPr>
        <w:snapToGrid/>
        <w:spacing w:line="360" w:lineRule="auto"/>
        <w:ind w:firstLine="494" w:firstLineChars="200"/>
        <w:outlineLvl w:val="6"/>
        <w:rPr>
          <w:rFonts w:hint="eastAsia" w:ascii="宋体" w:hAnsi="宋体" w:eastAsia="宋体" w:cs="宋体"/>
          <w:b/>
          <w:bCs/>
          <w:color w:val="000000"/>
          <w:spacing w:val="3"/>
          <w:sz w:val="24"/>
          <w:szCs w:val="24"/>
        </w:rPr>
      </w:pPr>
      <w:r>
        <w:rPr>
          <w:rFonts w:hint="eastAsia" w:ascii="宋体" w:hAnsi="宋体" w:eastAsia="宋体" w:cs="宋体"/>
          <w:b/>
          <w:bCs/>
          <w:color w:val="000000"/>
          <w:spacing w:val="3"/>
          <w:sz w:val="24"/>
          <w:szCs w:val="24"/>
          <w:lang w:val="en-US" w:eastAsia="zh-CN"/>
        </w:rPr>
        <w:t>五</w:t>
      </w:r>
      <w:r>
        <w:rPr>
          <w:rFonts w:hint="eastAsia" w:ascii="宋体" w:hAnsi="宋体" w:eastAsia="宋体" w:cs="宋体"/>
          <w:b/>
          <w:bCs/>
          <w:color w:val="000000"/>
          <w:spacing w:val="3"/>
          <w:sz w:val="24"/>
          <w:szCs w:val="24"/>
        </w:rPr>
        <w:t>、结算及货款支付</w:t>
      </w:r>
    </w:p>
    <w:p w14:paraId="1F19EF4C">
      <w:pPr>
        <w:pStyle w:val="16"/>
        <w:spacing w:after="0" w:line="360" w:lineRule="auto"/>
        <w:ind w:firstLine="516" w:firstLineChars="200"/>
        <w:jc w:val="both"/>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1.货款在产品最终验收合格后，中标人至采购人处办理结算手续，原则上次月结算上月款项。双方根据最终验收合格的产品数量和单价结算货款。</w:t>
      </w:r>
    </w:p>
    <w:p w14:paraId="711364C6">
      <w:pPr>
        <w:pStyle w:val="16"/>
        <w:spacing w:after="0" w:line="360" w:lineRule="auto"/>
        <w:ind w:firstLine="516" w:firstLineChars="200"/>
        <w:jc w:val="both"/>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2.到货验收完成后，双方先按照该批次入库的产品对应的合同额的80%计算预付款。同时在正式结算时，双方结合产品最终验收结果和招标人已支付的预付款结算，多退少补。招标人每次付款均自双方款项确认完成并收到中标人提交的合法等额的增值税专用发票（13%税点）15个工作日内安排支付。因中标人提供的发票不规范、不合法的，招标人有权顺延货款支付而无需承担任何逾期责任；如引起税务问题的，中标人应承担相应的赔偿责任。</w:t>
      </w:r>
    </w:p>
    <w:p w14:paraId="09DC8486">
      <w:pPr>
        <w:pStyle w:val="16"/>
        <w:spacing w:after="0" w:line="360" w:lineRule="auto"/>
        <w:ind w:firstLine="518" w:firstLineChars="200"/>
        <w:jc w:val="both"/>
        <w:rPr>
          <w:rFonts w:hint="eastAsia" w:ascii="宋体" w:hAnsi="宋体" w:eastAsia="宋体" w:cs="宋体"/>
          <w:b/>
          <w:bCs/>
          <w:color w:val="000000"/>
          <w:spacing w:val="9"/>
          <w:sz w:val="24"/>
          <w:szCs w:val="24"/>
        </w:rPr>
      </w:pPr>
      <w:r>
        <w:rPr>
          <w:rFonts w:hint="eastAsia" w:ascii="宋体" w:hAnsi="宋体" w:eastAsia="宋体" w:cs="宋体"/>
          <w:b/>
          <w:bCs/>
          <w:color w:val="000000"/>
          <w:spacing w:val="9"/>
          <w:sz w:val="24"/>
          <w:szCs w:val="24"/>
          <w:lang w:val="en-US" w:eastAsia="zh-CN"/>
        </w:rPr>
        <w:t>六</w:t>
      </w:r>
      <w:r>
        <w:rPr>
          <w:rFonts w:hint="eastAsia" w:ascii="宋体" w:hAnsi="宋体" w:eastAsia="宋体" w:cs="宋体"/>
          <w:b/>
          <w:bCs/>
          <w:color w:val="000000"/>
          <w:spacing w:val="9"/>
          <w:sz w:val="24"/>
          <w:szCs w:val="24"/>
        </w:rPr>
        <w:t>、售后服务</w:t>
      </w:r>
    </w:p>
    <w:p w14:paraId="528E1828">
      <w:pPr>
        <w:spacing w:line="360" w:lineRule="auto"/>
        <w:ind w:right="74" w:firstLine="437"/>
        <w:contextualSpacing/>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1.中标人必须满足采购人售后服务要求。如产品使用过程发生问题，中标人须在接到采购人通知后24小时内做出书面答复并提供解决方案。若需要派遣技术人员，则应在接到采购人通知后48小时内派遣生产厂家技术人员到达现场进行免费指导解决问题。</w:t>
      </w:r>
    </w:p>
    <w:p w14:paraId="683F3905">
      <w:pPr>
        <w:pStyle w:val="65"/>
        <w:rPr>
          <w:rFonts w:hint="eastAsia" w:ascii="宋体" w:hAnsi="宋体" w:eastAsia="宋体" w:cs="宋体"/>
          <w:b/>
          <w:color w:val="auto"/>
          <w:kern w:val="44"/>
          <w:sz w:val="40"/>
          <w:szCs w:val="52"/>
          <w:highlight w:val="none"/>
        </w:rPr>
      </w:pPr>
      <w:r>
        <w:rPr>
          <w:rFonts w:hint="eastAsia" w:ascii="宋体" w:hAnsi="宋体" w:eastAsia="宋体" w:cs="宋体"/>
          <w:b w:val="0"/>
          <w:bCs w:val="0"/>
          <w:color w:val="000000"/>
          <w:spacing w:val="9"/>
          <w:sz w:val="24"/>
          <w:szCs w:val="24"/>
          <w:lang w:val="en-US" w:eastAsia="zh-CN"/>
        </w:rPr>
        <w:t>2.中标人自行协调处理与属地运输、公安等部门之间的关系，确保供货渠道畅通、不得影响采购人正常生产。</w:t>
      </w:r>
    </w:p>
    <w:p w14:paraId="06014D8D">
      <w:pPr>
        <w:pStyle w:val="65"/>
        <w:rPr>
          <w:rFonts w:hint="eastAsia" w:ascii="宋体" w:hAnsi="宋体" w:eastAsia="宋体" w:cs="宋体"/>
          <w:b/>
          <w:color w:val="auto"/>
          <w:kern w:val="44"/>
          <w:sz w:val="32"/>
          <w:szCs w:val="44"/>
          <w:highlight w:val="none"/>
        </w:rPr>
      </w:pPr>
    </w:p>
    <w:p w14:paraId="1265AB54">
      <w:pPr>
        <w:pStyle w:val="65"/>
        <w:rPr>
          <w:rFonts w:hint="eastAsia" w:ascii="宋体" w:hAnsi="宋体" w:eastAsia="宋体" w:cs="宋体"/>
          <w:b/>
          <w:color w:val="auto"/>
          <w:kern w:val="44"/>
          <w:sz w:val="32"/>
          <w:szCs w:val="44"/>
          <w:highlight w:val="none"/>
        </w:rPr>
      </w:pPr>
    </w:p>
    <w:p w14:paraId="17A11C3E">
      <w:pPr>
        <w:pStyle w:val="65"/>
        <w:rPr>
          <w:rFonts w:hint="eastAsia" w:ascii="宋体" w:hAnsi="宋体" w:eastAsia="宋体" w:cs="宋体"/>
          <w:b/>
          <w:color w:val="auto"/>
          <w:kern w:val="44"/>
          <w:sz w:val="32"/>
          <w:szCs w:val="44"/>
          <w:highlight w:val="none"/>
        </w:rPr>
      </w:pPr>
    </w:p>
    <w:p w14:paraId="3C6BDCBF">
      <w:pPr>
        <w:pStyle w:val="65"/>
        <w:rPr>
          <w:rFonts w:hint="eastAsia" w:ascii="宋体" w:hAnsi="宋体" w:eastAsia="宋体" w:cs="宋体"/>
          <w:b/>
          <w:color w:val="auto"/>
          <w:kern w:val="44"/>
          <w:sz w:val="32"/>
          <w:szCs w:val="44"/>
          <w:highlight w:val="none"/>
        </w:rPr>
      </w:pPr>
    </w:p>
    <w:p w14:paraId="58F2D628">
      <w:pPr>
        <w:pStyle w:val="65"/>
        <w:rPr>
          <w:rFonts w:hint="eastAsia" w:ascii="宋体" w:hAnsi="宋体" w:eastAsia="宋体" w:cs="宋体"/>
          <w:b/>
          <w:color w:val="auto"/>
          <w:kern w:val="44"/>
          <w:sz w:val="32"/>
          <w:szCs w:val="44"/>
          <w:highlight w:val="none"/>
        </w:rPr>
      </w:pPr>
    </w:p>
    <w:p w14:paraId="6F93CCDB">
      <w:pPr>
        <w:pStyle w:val="65"/>
        <w:rPr>
          <w:rFonts w:hint="eastAsia" w:ascii="宋体" w:hAnsi="宋体" w:eastAsia="宋体" w:cs="宋体"/>
          <w:b/>
          <w:color w:val="auto"/>
          <w:kern w:val="44"/>
          <w:sz w:val="32"/>
          <w:szCs w:val="44"/>
          <w:highlight w:val="none"/>
        </w:rPr>
      </w:pPr>
    </w:p>
    <w:p w14:paraId="267AF3F8">
      <w:pPr>
        <w:pStyle w:val="65"/>
        <w:rPr>
          <w:rFonts w:hint="eastAsia" w:ascii="宋体" w:hAnsi="宋体" w:eastAsia="宋体" w:cs="宋体"/>
          <w:b/>
          <w:color w:val="auto"/>
          <w:kern w:val="44"/>
          <w:sz w:val="32"/>
          <w:szCs w:val="44"/>
          <w:highlight w:val="none"/>
        </w:rPr>
      </w:pPr>
    </w:p>
    <w:p w14:paraId="2AB86B84">
      <w:pPr>
        <w:pStyle w:val="65"/>
        <w:rPr>
          <w:rFonts w:hint="eastAsia" w:ascii="宋体" w:hAnsi="宋体" w:eastAsia="宋体" w:cs="宋体"/>
          <w:b/>
          <w:color w:val="auto"/>
          <w:kern w:val="44"/>
          <w:sz w:val="32"/>
          <w:szCs w:val="44"/>
          <w:highlight w:val="none"/>
        </w:rPr>
      </w:pPr>
    </w:p>
    <w:p w14:paraId="22330F9C">
      <w:pPr>
        <w:pStyle w:val="65"/>
        <w:rPr>
          <w:rFonts w:hint="eastAsia" w:ascii="宋体" w:hAnsi="宋体" w:eastAsia="宋体" w:cs="宋体"/>
          <w:b/>
          <w:color w:val="auto"/>
          <w:kern w:val="44"/>
          <w:sz w:val="32"/>
          <w:szCs w:val="44"/>
          <w:highlight w:val="none"/>
        </w:rPr>
      </w:pPr>
    </w:p>
    <w:p w14:paraId="78F15BC7">
      <w:pPr>
        <w:pStyle w:val="65"/>
        <w:rPr>
          <w:rFonts w:hint="eastAsia" w:ascii="宋体" w:hAnsi="宋体" w:eastAsia="宋体" w:cs="宋体"/>
          <w:b/>
          <w:color w:val="auto"/>
          <w:kern w:val="44"/>
          <w:sz w:val="32"/>
          <w:szCs w:val="44"/>
          <w:highlight w:val="none"/>
        </w:rPr>
      </w:pPr>
    </w:p>
    <w:p w14:paraId="1BC93319">
      <w:pPr>
        <w:pStyle w:val="65"/>
        <w:rPr>
          <w:rFonts w:hint="eastAsia" w:ascii="宋体" w:hAnsi="宋体" w:eastAsia="宋体" w:cs="宋体"/>
          <w:b/>
          <w:color w:val="auto"/>
          <w:kern w:val="44"/>
          <w:sz w:val="32"/>
          <w:szCs w:val="44"/>
          <w:highlight w:val="none"/>
        </w:rPr>
      </w:pPr>
    </w:p>
    <w:p w14:paraId="5E4E23EC">
      <w:pPr>
        <w:pStyle w:val="65"/>
        <w:rPr>
          <w:rFonts w:hint="eastAsia" w:ascii="宋体" w:hAnsi="宋体" w:eastAsia="宋体" w:cs="宋体"/>
          <w:b/>
          <w:color w:val="auto"/>
          <w:kern w:val="44"/>
          <w:sz w:val="32"/>
          <w:szCs w:val="44"/>
          <w:highlight w:val="none"/>
        </w:rPr>
      </w:pPr>
    </w:p>
    <w:p w14:paraId="69F77912">
      <w:pPr>
        <w:pStyle w:val="65"/>
        <w:rPr>
          <w:rFonts w:hint="eastAsia" w:ascii="宋体" w:hAnsi="宋体" w:eastAsia="宋体" w:cs="宋体"/>
          <w:b/>
          <w:color w:val="auto"/>
          <w:kern w:val="44"/>
          <w:sz w:val="32"/>
          <w:szCs w:val="44"/>
          <w:highlight w:val="none"/>
        </w:rPr>
      </w:pPr>
    </w:p>
    <w:p w14:paraId="007A1D52">
      <w:pPr>
        <w:pStyle w:val="65"/>
        <w:ind w:left="0" w:leftChars="0" w:firstLine="0" w:firstLineChars="0"/>
        <w:rPr>
          <w:rFonts w:hint="eastAsia" w:ascii="宋体" w:hAnsi="宋体" w:eastAsia="宋体" w:cs="宋体"/>
          <w:b/>
          <w:color w:val="auto"/>
          <w:kern w:val="44"/>
          <w:sz w:val="32"/>
          <w:szCs w:val="44"/>
          <w:highlight w:val="none"/>
        </w:rPr>
      </w:pPr>
    </w:p>
    <w:p w14:paraId="2B4766FC">
      <w:pPr>
        <w:widowControl/>
        <w:numPr>
          <w:ilvl w:val="0"/>
          <w:numId w:val="4"/>
        </w:numPr>
        <w:spacing w:line="360" w:lineRule="auto"/>
        <w:ind w:left="0" w:leftChars="0" w:firstLine="0" w:firstLineChars="0"/>
        <w:jc w:val="center"/>
        <w:outlineLvl w:val="0"/>
        <w:rPr>
          <w:rFonts w:hint="eastAsia" w:ascii="宋体" w:hAnsi="宋体" w:eastAsia="宋体" w:cs="宋体"/>
          <w:b w:val="0"/>
          <w:bCs/>
          <w:color w:val="auto"/>
          <w:kern w:val="44"/>
          <w:sz w:val="32"/>
          <w:szCs w:val="44"/>
          <w:highlight w:val="none"/>
        </w:rPr>
      </w:pPr>
      <w:r>
        <w:rPr>
          <w:rFonts w:hint="eastAsia" w:ascii="宋体" w:hAnsi="宋体" w:eastAsia="宋体" w:cs="宋体"/>
          <w:b w:val="0"/>
          <w:bCs/>
          <w:color w:val="auto"/>
          <w:kern w:val="44"/>
          <w:sz w:val="32"/>
          <w:szCs w:val="44"/>
          <w:highlight w:val="none"/>
        </w:rPr>
        <w:t>评标方法及评价标准</w:t>
      </w:r>
      <w:bookmarkEnd w:id="89"/>
      <w:bookmarkEnd w:id="90"/>
    </w:p>
    <w:p w14:paraId="38D4BF8B">
      <w:pPr>
        <w:spacing w:line="400" w:lineRule="exact"/>
        <w:ind w:firstLine="431"/>
        <w:rPr>
          <w:rFonts w:hint="eastAsia" w:ascii="宋体" w:hAnsi="宋体" w:eastAsia="宋体" w:cs="宋体"/>
          <w:b/>
          <w:bCs/>
          <w:color w:val="auto"/>
          <w:sz w:val="24"/>
          <w:szCs w:val="24"/>
          <w:highlight w:val="none"/>
        </w:rPr>
      </w:pPr>
      <w:bookmarkStart w:id="91" w:name="_Toc83886039"/>
      <w:bookmarkStart w:id="92" w:name="_Toc12216"/>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w:t>
      </w:r>
    </w:p>
    <w:p w14:paraId="240FEAC1">
      <w:pPr>
        <w:pStyle w:val="3"/>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8"/>
          <w:sz w:val="24"/>
          <w:szCs w:val="24"/>
          <w:highlight w:val="none"/>
        </w:rPr>
        <w:t>、</w:t>
      </w:r>
      <w:r>
        <w:rPr>
          <w:rFonts w:hint="eastAsia" w:ascii="宋体" w:hAnsi="宋体" w:eastAsia="宋体" w:cs="宋体"/>
          <w:color w:val="auto"/>
          <w:sz w:val="24"/>
          <w:szCs w:val="24"/>
          <w:highlight w:val="none"/>
        </w:rPr>
        <w:t>评标方法</w:t>
      </w:r>
    </w:p>
    <w:p w14:paraId="103F0B82">
      <w:pPr>
        <w:spacing w:line="440" w:lineRule="exact"/>
        <w:ind w:firstLine="420"/>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本</w:t>
      </w:r>
      <w:r>
        <w:rPr>
          <w:rFonts w:hint="eastAsia" w:ascii="宋体" w:hAnsi="宋体" w:eastAsia="宋体" w:cs="宋体"/>
          <w:color w:val="auto"/>
          <w:spacing w:val="9"/>
          <w:sz w:val="24"/>
          <w:szCs w:val="24"/>
          <w:highlight w:val="none"/>
        </w:rPr>
        <w:t>项目评标方法及标准采用</w:t>
      </w:r>
      <w:r>
        <w:rPr>
          <w:rFonts w:hint="eastAsia" w:ascii="宋体" w:hAnsi="宋体" w:eastAsia="宋体" w:cs="宋体"/>
          <w:b/>
          <w:bCs/>
          <w:color w:val="auto"/>
          <w:spacing w:val="9"/>
          <w:sz w:val="24"/>
          <w:szCs w:val="24"/>
          <w:highlight w:val="none"/>
        </w:rPr>
        <w:t>经评审最低价法</w:t>
      </w:r>
      <w:r>
        <w:rPr>
          <w:rFonts w:hint="eastAsia" w:ascii="宋体" w:hAnsi="宋体" w:eastAsia="宋体" w:cs="宋体"/>
          <w:color w:val="auto"/>
          <w:spacing w:val="11"/>
          <w:sz w:val="24"/>
          <w:szCs w:val="24"/>
          <w:highlight w:val="none"/>
        </w:rPr>
        <w:t>。</w:t>
      </w:r>
    </w:p>
    <w:p w14:paraId="4180E6E1">
      <w:pPr>
        <w:pStyle w:val="3"/>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2、评标程序</w:t>
      </w:r>
    </w:p>
    <w:p w14:paraId="435F34D3">
      <w:pPr>
        <w:spacing w:line="440" w:lineRule="exact"/>
        <w:ind w:firstLine="418"/>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评标委员会按照以下程序开展评标工</w:t>
      </w:r>
      <w:r>
        <w:rPr>
          <w:rFonts w:hint="eastAsia" w:ascii="宋体" w:hAnsi="宋体" w:eastAsia="宋体" w:cs="宋体"/>
          <w:color w:val="auto"/>
          <w:spacing w:val="8"/>
          <w:sz w:val="24"/>
          <w:szCs w:val="24"/>
          <w:highlight w:val="none"/>
        </w:rPr>
        <w:t>作</w:t>
      </w:r>
      <w:r>
        <w:rPr>
          <w:rFonts w:hint="eastAsia" w:ascii="宋体" w:hAnsi="宋体" w:eastAsia="宋体" w:cs="宋体"/>
          <w:color w:val="auto"/>
          <w:spacing w:val="10"/>
          <w:sz w:val="24"/>
          <w:szCs w:val="24"/>
          <w:highlight w:val="none"/>
        </w:rPr>
        <w:t>。</w:t>
      </w:r>
    </w:p>
    <w:p w14:paraId="13B84884">
      <w:pPr>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2.1 </w:t>
      </w:r>
      <w:r>
        <w:rPr>
          <w:rFonts w:hint="eastAsia" w:ascii="宋体" w:hAnsi="宋体" w:eastAsia="宋体" w:cs="宋体"/>
          <w:color w:val="auto"/>
          <w:spacing w:val="5"/>
          <w:sz w:val="24"/>
          <w:szCs w:val="24"/>
          <w:highlight w:val="none"/>
        </w:rPr>
        <w:t>熟悉招标</w:t>
      </w:r>
      <w:r>
        <w:rPr>
          <w:rFonts w:hint="eastAsia" w:ascii="宋体" w:hAnsi="宋体" w:eastAsia="宋体" w:cs="宋体"/>
          <w:color w:val="auto"/>
          <w:spacing w:val="4"/>
          <w:sz w:val="24"/>
          <w:szCs w:val="24"/>
          <w:highlight w:val="none"/>
        </w:rPr>
        <w:t>文件和评标办法</w:t>
      </w:r>
      <w:r>
        <w:rPr>
          <w:rFonts w:hint="eastAsia" w:ascii="宋体" w:hAnsi="宋体" w:eastAsia="宋体" w:cs="宋体"/>
          <w:color w:val="auto"/>
          <w:spacing w:val="5"/>
          <w:sz w:val="24"/>
          <w:szCs w:val="24"/>
          <w:highlight w:val="none"/>
        </w:rPr>
        <w:t>；</w:t>
      </w:r>
    </w:p>
    <w:p w14:paraId="36E3DDDF">
      <w:pPr>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2.2资格审查</w:t>
      </w:r>
      <w:r>
        <w:rPr>
          <w:rFonts w:hint="eastAsia" w:ascii="宋体" w:hAnsi="宋体" w:eastAsia="宋体" w:cs="宋体"/>
          <w:color w:val="auto"/>
          <w:spacing w:val="-5"/>
          <w:sz w:val="24"/>
          <w:szCs w:val="24"/>
          <w:highlight w:val="none"/>
        </w:rPr>
        <w:t>；</w:t>
      </w:r>
    </w:p>
    <w:p w14:paraId="347CDE61">
      <w:pPr>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2.3初步评审</w:t>
      </w:r>
      <w:r>
        <w:rPr>
          <w:rFonts w:hint="eastAsia" w:ascii="宋体" w:hAnsi="宋体" w:eastAsia="宋体" w:cs="宋体"/>
          <w:color w:val="auto"/>
          <w:spacing w:val="-5"/>
          <w:sz w:val="24"/>
          <w:szCs w:val="24"/>
          <w:highlight w:val="none"/>
        </w:rPr>
        <w:t>；</w:t>
      </w:r>
    </w:p>
    <w:p w14:paraId="53DBC5FB">
      <w:pPr>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1"/>
          <w:sz w:val="24"/>
          <w:szCs w:val="24"/>
          <w:highlight w:val="none"/>
        </w:rPr>
        <w:t>3.1符合性审查</w:t>
      </w:r>
      <w:r>
        <w:rPr>
          <w:rFonts w:hint="eastAsia" w:ascii="宋体" w:hAnsi="宋体" w:eastAsia="宋体" w:cs="宋体"/>
          <w:color w:val="auto"/>
          <w:spacing w:val="2"/>
          <w:sz w:val="24"/>
          <w:szCs w:val="24"/>
          <w:highlight w:val="none"/>
        </w:rPr>
        <w:t>；</w:t>
      </w:r>
    </w:p>
    <w:p w14:paraId="1885F82C">
      <w:pPr>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w:t>
      </w:r>
      <w:r>
        <w:rPr>
          <w:rFonts w:hint="eastAsia" w:ascii="宋体" w:hAnsi="宋体" w:eastAsia="宋体" w:cs="宋体"/>
          <w:color w:val="auto"/>
          <w:spacing w:val="1"/>
          <w:sz w:val="24"/>
          <w:szCs w:val="24"/>
          <w:highlight w:val="none"/>
        </w:rPr>
        <w:t>.2</w:t>
      </w:r>
      <w:r>
        <w:rPr>
          <w:rFonts w:hint="eastAsia" w:ascii="宋体" w:hAnsi="宋体" w:eastAsia="宋体" w:cs="宋体"/>
          <w:color w:val="auto"/>
          <w:spacing w:val="2"/>
          <w:sz w:val="24"/>
          <w:szCs w:val="24"/>
          <w:highlight w:val="none"/>
        </w:rPr>
        <w:t xml:space="preserve"> 有效标的确定</w:t>
      </w:r>
      <w:r>
        <w:rPr>
          <w:rFonts w:hint="eastAsia" w:ascii="宋体" w:hAnsi="宋体" w:eastAsia="宋体" w:cs="宋体"/>
          <w:color w:val="auto"/>
          <w:spacing w:val="3"/>
          <w:sz w:val="24"/>
          <w:szCs w:val="24"/>
          <w:highlight w:val="none"/>
        </w:rPr>
        <w:t>；</w:t>
      </w:r>
    </w:p>
    <w:p w14:paraId="698C7E8E">
      <w:pPr>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2.4详细评审</w:t>
      </w:r>
      <w:r>
        <w:rPr>
          <w:rFonts w:hint="eastAsia" w:ascii="宋体" w:hAnsi="宋体" w:eastAsia="宋体" w:cs="宋体"/>
          <w:color w:val="auto"/>
          <w:spacing w:val="-5"/>
          <w:sz w:val="24"/>
          <w:szCs w:val="24"/>
          <w:highlight w:val="none"/>
        </w:rPr>
        <w:t>；</w:t>
      </w:r>
    </w:p>
    <w:p w14:paraId="4A98C085">
      <w:pPr>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2.5 </w:t>
      </w:r>
      <w:r>
        <w:rPr>
          <w:rFonts w:hint="eastAsia" w:ascii="宋体" w:hAnsi="宋体" w:eastAsia="宋体" w:cs="宋体"/>
          <w:color w:val="auto"/>
          <w:spacing w:val="5"/>
          <w:sz w:val="24"/>
          <w:szCs w:val="24"/>
          <w:highlight w:val="none"/>
        </w:rPr>
        <w:t>投标文</w:t>
      </w:r>
      <w:r>
        <w:rPr>
          <w:rFonts w:hint="eastAsia" w:ascii="宋体" w:hAnsi="宋体" w:eastAsia="宋体" w:cs="宋体"/>
          <w:color w:val="auto"/>
          <w:spacing w:val="4"/>
          <w:sz w:val="24"/>
          <w:szCs w:val="24"/>
          <w:highlight w:val="none"/>
        </w:rPr>
        <w:t>件澄清</w:t>
      </w:r>
      <w:r>
        <w:rPr>
          <w:rFonts w:hint="eastAsia" w:ascii="宋体" w:hAnsi="宋体" w:eastAsia="宋体" w:cs="宋体"/>
          <w:color w:val="auto"/>
          <w:spacing w:val="5"/>
          <w:sz w:val="24"/>
          <w:szCs w:val="24"/>
          <w:highlight w:val="none"/>
        </w:rPr>
        <w:t>、</w:t>
      </w:r>
      <w:r>
        <w:rPr>
          <w:rFonts w:hint="eastAsia" w:ascii="宋体" w:hAnsi="宋体" w:eastAsia="宋体" w:cs="宋体"/>
          <w:color w:val="auto"/>
          <w:spacing w:val="4"/>
          <w:sz w:val="24"/>
          <w:szCs w:val="24"/>
          <w:highlight w:val="none"/>
        </w:rPr>
        <w:t>报价修正</w:t>
      </w:r>
      <w:r>
        <w:rPr>
          <w:rFonts w:hint="eastAsia" w:ascii="宋体" w:hAnsi="宋体" w:eastAsia="宋体" w:cs="宋体"/>
          <w:color w:val="auto"/>
          <w:spacing w:val="5"/>
          <w:sz w:val="24"/>
          <w:szCs w:val="24"/>
          <w:highlight w:val="none"/>
        </w:rPr>
        <w:t>；</w:t>
      </w:r>
    </w:p>
    <w:p w14:paraId="6EDC1448">
      <w:pPr>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2.6 </w:t>
      </w:r>
      <w:r>
        <w:rPr>
          <w:rFonts w:hint="eastAsia" w:ascii="宋体" w:hAnsi="宋体" w:eastAsia="宋体" w:cs="宋体"/>
          <w:color w:val="auto"/>
          <w:spacing w:val="4"/>
          <w:sz w:val="24"/>
          <w:szCs w:val="24"/>
          <w:highlight w:val="none"/>
        </w:rPr>
        <w:t>排序与推荐中标</w:t>
      </w:r>
      <w:r>
        <w:rPr>
          <w:rFonts w:hint="eastAsia" w:ascii="宋体" w:hAnsi="宋体" w:eastAsia="宋体" w:cs="宋体"/>
          <w:color w:val="auto"/>
          <w:spacing w:val="3"/>
          <w:sz w:val="24"/>
          <w:szCs w:val="24"/>
          <w:highlight w:val="none"/>
        </w:rPr>
        <w:t>候选人</w:t>
      </w:r>
      <w:r>
        <w:rPr>
          <w:rFonts w:hint="eastAsia" w:ascii="宋体" w:hAnsi="宋体" w:eastAsia="宋体" w:cs="宋体"/>
          <w:color w:val="auto"/>
          <w:spacing w:val="5"/>
          <w:sz w:val="24"/>
          <w:szCs w:val="24"/>
          <w:highlight w:val="none"/>
        </w:rPr>
        <w:t>；</w:t>
      </w:r>
    </w:p>
    <w:p w14:paraId="441C5993">
      <w:pPr>
        <w:spacing w:line="440" w:lineRule="exact"/>
        <w:ind w:firstLine="42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2.7 </w:t>
      </w:r>
      <w:r>
        <w:rPr>
          <w:rFonts w:hint="eastAsia" w:ascii="宋体" w:hAnsi="宋体" w:eastAsia="宋体" w:cs="宋体"/>
          <w:color w:val="auto"/>
          <w:spacing w:val="1"/>
          <w:sz w:val="24"/>
          <w:szCs w:val="24"/>
          <w:highlight w:val="none"/>
        </w:rPr>
        <w:t>完成评标报告</w:t>
      </w:r>
      <w:r>
        <w:rPr>
          <w:rFonts w:hint="eastAsia" w:ascii="宋体" w:hAnsi="宋体" w:eastAsia="宋体" w:cs="宋体"/>
          <w:color w:val="auto"/>
          <w:spacing w:val="3"/>
          <w:sz w:val="24"/>
          <w:szCs w:val="24"/>
          <w:highlight w:val="none"/>
        </w:rPr>
        <w:t>。</w:t>
      </w:r>
    </w:p>
    <w:p w14:paraId="5AF05C2D">
      <w:pPr>
        <w:pStyle w:val="3"/>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3、资格审查</w:t>
      </w:r>
    </w:p>
    <w:p w14:paraId="31F1B268">
      <w:pPr>
        <w:keepNext w:val="0"/>
        <w:keepLines w:val="0"/>
        <w:pageBreakBefore w:val="0"/>
        <w:widowControl w:val="0"/>
        <w:kinsoku/>
        <w:wordWrap/>
        <w:overflowPunct/>
        <w:topLinePunct w:val="0"/>
        <w:autoSpaceDE/>
        <w:autoSpaceDN/>
        <w:bidi w:val="0"/>
        <w:adjustRightInd/>
        <w:snapToGrid/>
        <w:spacing w:line="440" w:lineRule="exact"/>
        <w:ind w:left="0" w:firstLine="420"/>
        <w:textAlignment w:val="auto"/>
        <w:rPr>
          <w:rFonts w:hint="eastAsia" w:ascii="宋体" w:hAnsi="宋体" w:eastAsia="宋体" w:cs="宋体"/>
          <w:color w:val="auto"/>
          <w:spacing w:val="10"/>
          <w:sz w:val="24"/>
          <w:szCs w:val="24"/>
          <w:highlight w:val="none"/>
        </w:rPr>
      </w:pPr>
      <w:r>
        <w:rPr>
          <w:rFonts w:hint="eastAsia" w:ascii="宋体" w:hAnsi="宋体" w:eastAsia="宋体" w:cs="宋体"/>
          <w:color w:val="auto"/>
          <w:spacing w:val="6"/>
          <w:sz w:val="24"/>
          <w:szCs w:val="24"/>
          <w:highlight w:val="none"/>
        </w:rPr>
        <w:t xml:space="preserve">3.1 </w:t>
      </w:r>
      <w:r>
        <w:rPr>
          <w:rFonts w:hint="eastAsia" w:ascii="宋体" w:hAnsi="宋体" w:eastAsia="宋体" w:cs="宋体"/>
          <w:color w:val="auto"/>
          <w:spacing w:val="11"/>
          <w:sz w:val="24"/>
          <w:szCs w:val="24"/>
          <w:highlight w:val="none"/>
        </w:rPr>
        <w:t>评标委员会按照招标文件的要求和规定，对投标人的投</w:t>
      </w:r>
      <w:r>
        <w:rPr>
          <w:rFonts w:hint="eastAsia" w:ascii="宋体" w:hAnsi="宋体" w:eastAsia="宋体" w:cs="宋体"/>
          <w:color w:val="auto"/>
          <w:spacing w:val="10"/>
          <w:sz w:val="24"/>
          <w:szCs w:val="24"/>
          <w:highlight w:val="none"/>
        </w:rPr>
        <w:t>标资格进行审查</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投标人存在以下情形之一的，资格审查不予通过，否决其投标，不再进行后续评审：</w:t>
      </w:r>
    </w:p>
    <w:p w14:paraId="3F1D9A76">
      <w:pPr>
        <w:keepNext w:val="0"/>
        <w:keepLines w:val="0"/>
        <w:pageBreakBefore w:val="0"/>
        <w:widowControl w:val="0"/>
        <w:kinsoku/>
        <w:wordWrap/>
        <w:overflowPunct/>
        <w:topLinePunct w:val="0"/>
        <w:autoSpaceDE/>
        <w:autoSpaceDN/>
        <w:bidi w:val="0"/>
        <w:adjustRightInd/>
        <w:snapToGrid/>
        <w:spacing w:line="440" w:lineRule="exact"/>
        <w:ind w:left="0" w:firstLine="420"/>
        <w:textAlignment w:val="auto"/>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u w:val="single"/>
        </w:rPr>
        <w:t>（1）投标人不满足招标公告中载明的投标人资格条件的；</w:t>
      </w:r>
    </w:p>
    <w:p w14:paraId="38069DC1">
      <w:pPr>
        <w:keepNext w:val="0"/>
        <w:keepLines w:val="0"/>
        <w:spacing w:line="440" w:lineRule="exact"/>
        <w:ind w:firstLine="420"/>
        <w:rPr>
          <w:rFonts w:hint="eastAsia" w:ascii="宋体" w:hAnsi="宋体" w:eastAsia="宋体" w:cs="宋体"/>
          <w:color w:val="auto"/>
          <w:spacing w:val="10"/>
          <w:sz w:val="24"/>
          <w:szCs w:val="24"/>
          <w:highlight w:val="none"/>
          <w:u w:val="single"/>
        </w:rPr>
      </w:pPr>
      <w:r>
        <w:rPr>
          <w:rFonts w:hint="eastAsia" w:ascii="宋体" w:hAnsi="宋体" w:eastAsia="宋体" w:cs="宋体"/>
          <w:color w:val="auto"/>
          <w:spacing w:val="10"/>
          <w:sz w:val="24"/>
          <w:szCs w:val="24"/>
          <w:highlight w:val="none"/>
          <w:u w:val="single"/>
        </w:rPr>
        <w:t>（2）存在法律、法规规定的其他否决投标情形的；</w:t>
      </w:r>
    </w:p>
    <w:p w14:paraId="0B44E3CB">
      <w:pPr>
        <w:keepNext w:val="0"/>
        <w:keepLines w:val="0"/>
        <w:spacing w:line="440" w:lineRule="exact"/>
        <w:ind w:firstLine="420"/>
        <w:rPr>
          <w:rFonts w:hint="eastAsia" w:ascii="宋体" w:hAnsi="宋体" w:eastAsia="宋体" w:cs="宋体"/>
          <w:color w:val="auto"/>
          <w:spacing w:val="0"/>
          <w:sz w:val="32"/>
          <w:szCs w:val="32"/>
          <w:highlight w:val="none"/>
          <w:u w:val="none"/>
          <w:lang w:val="en-US" w:eastAsia="zh-CN"/>
        </w:rPr>
      </w:pPr>
      <w:r>
        <w:rPr>
          <w:rFonts w:hint="eastAsia" w:ascii="宋体" w:hAnsi="宋体" w:eastAsia="宋体" w:cs="宋体"/>
          <w:color w:val="auto"/>
          <w:spacing w:val="10"/>
          <w:sz w:val="24"/>
          <w:szCs w:val="24"/>
          <w:highlight w:val="none"/>
          <w:u w:val="single"/>
          <w:lang w:eastAsia="zh-CN"/>
        </w:rPr>
        <w:t>（</w:t>
      </w:r>
      <w:r>
        <w:rPr>
          <w:rFonts w:hint="eastAsia" w:ascii="宋体" w:hAnsi="宋体" w:eastAsia="宋体" w:cs="宋体"/>
          <w:color w:val="auto"/>
          <w:spacing w:val="10"/>
          <w:sz w:val="24"/>
          <w:szCs w:val="24"/>
          <w:highlight w:val="none"/>
          <w:u w:val="single"/>
          <w:lang w:val="en-US" w:eastAsia="zh-CN"/>
        </w:rPr>
        <w:t>3</w:t>
      </w:r>
      <w:r>
        <w:rPr>
          <w:rFonts w:hint="eastAsia" w:ascii="宋体" w:hAnsi="宋体" w:eastAsia="宋体" w:cs="宋体"/>
          <w:color w:val="auto"/>
          <w:spacing w:val="10"/>
          <w:sz w:val="24"/>
          <w:szCs w:val="24"/>
          <w:highlight w:val="none"/>
          <w:u w:val="single"/>
          <w:lang w:eastAsia="zh-CN"/>
        </w:rPr>
        <w:t>）</w:t>
      </w:r>
      <w:r>
        <w:rPr>
          <w:rFonts w:hint="eastAsia" w:ascii="宋体" w:hAnsi="宋体" w:eastAsia="宋体" w:cs="宋体"/>
          <w:b w:val="0"/>
          <w:color w:val="auto"/>
          <w:spacing w:val="10"/>
          <w:sz w:val="24"/>
          <w:highlight w:val="none"/>
          <w:u w:val="single"/>
        </w:rPr>
        <w:t>未提供安全服务承诺函的。</w:t>
      </w:r>
    </w:p>
    <w:p w14:paraId="2EDCC1CA">
      <w:pPr>
        <w:keepNext w:val="0"/>
        <w:keepLines w:val="0"/>
        <w:widowControl w:val="0"/>
        <w:suppressLineNumbers w:val="0"/>
        <w:spacing w:before="0" w:beforeAutospacing="0" w:after="0" w:afterAutospacing="0" w:line="440" w:lineRule="exact"/>
        <w:ind w:left="0" w:right="0" w:firstLine="420"/>
        <w:jc w:val="left"/>
        <w:rPr>
          <w:rFonts w:hint="eastAsia" w:ascii="宋体" w:hAnsi="宋体" w:eastAsia="宋体" w:cs="宋体"/>
          <w:color w:val="auto"/>
          <w:spacing w:val="11"/>
          <w:sz w:val="24"/>
          <w:szCs w:val="24"/>
          <w:highlight w:val="none"/>
        </w:rPr>
      </w:pPr>
      <w:r>
        <w:rPr>
          <w:rFonts w:hint="eastAsia" w:ascii="宋体" w:hAnsi="宋体" w:eastAsia="宋体" w:cs="宋体"/>
          <w:color w:val="auto"/>
          <w:spacing w:val="6"/>
          <w:sz w:val="24"/>
          <w:szCs w:val="24"/>
          <w:highlight w:val="none"/>
        </w:rPr>
        <w:t xml:space="preserve">3.2 </w:t>
      </w:r>
      <w:r>
        <w:rPr>
          <w:rFonts w:hint="eastAsia" w:ascii="宋体" w:hAnsi="宋体" w:eastAsia="宋体" w:cs="宋体"/>
          <w:color w:val="auto"/>
          <w:spacing w:val="11"/>
          <w:sz w:val="24"/>
          <w:szCs w:val="24"/>
          <w:highlight w:val="none"/>
        </w:rPr>
        <w:t>资格审查过程中，评标委员会可以要求投标人提交资格审查所</w:t>
      </w:r>
      <w:r>
        <w:rPr>
          <w:rFonts w:hint="eastAsia" w:ascii="宋体" w:hAnsi="宋体" w:eastAsia="宋体" w:cs="宋体"/>
          <w:color w:val="auto"/>
          <w:spacing w:val="10"/>
          <w:sz w:val="24"/>
          <w:szCs w:val="24"/>
          <w:highlight w:val="none"/>
        </w:rPr>
        <w:t>需的有关证明的原件</w:t>
      </w:r>
      <w:r>
        <w:rPr>
          <w:rFonts w:hint="eastAsia" w:ascii="宋体" w:hAnsi="宋体" w:eastAsia="宋体" w:cs="宋体"/>
          <w:color w:val="auto"/>
          <w:spacing w:val="11"/>
          <w:sz w:val="24"/>
          <w:szCs w:val="24"/>
          <w:highlight w:val="none"/>
        </w:rPr>
        <w:t>，</w:t>
      </w:r>
      <w:r>
        <w:rPr>
          <w:rFonts w:hint="eastAsia" w:ascii="宋体" w:hAnsi="宋体" w:eastAsia="宋体" w:cs="宋体"/>
          <w:color w:val="auto"/>
          <w:spacing w:val="10"/>
          <w:sz w:val="24"/>
          <w:szCs w:val="24"/>
          <w:highlight w:val="none"/>
        </w:rPr>
        <w:t>以便</w:t>
      </w:r>
      <w:r>
        <w:rPr>
          <w:rFonts w:hint="eastAsia" w:ascii="宋体" w:hAnsi="宋体" w:eastAsia="宋体" w:cs="宋体"/>
          <w:color w:val="auto"/>
          <w:spacing w:val="3"/>
          <w:sz w:val="24"/>
          <w:szCs w:val="24"/>
          <w:highlight w:val="none"/>
        </w:rPr>
        <w:t>核验</w:t>
      </w:r>
      <w:r>
        <w:rPr>
          <w:rFonts w:hint="eastAsia" w:ascii="宋体" w:hAnsi="宋体" w:eastAsia="宋体" w:cs="宋体"/>
          <w:color w:val="auto"/>
          <w:spacing w:val="4"/>
          <w:sz w:val="24"/>
          <w:szCs w:val="24"/>
          <w:highlight w:val="none"/>
        </w:rPr>
        <w:t>。</w:t>
      </w:r>
    </w:p>
    <w:p w14:paraId="74A889CB">
      <w:pPr>
        <w:pStyle w:val="3"/>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4、初步评审</w:t>
      </w:r>
    </w:p>
    <w:p w14:paraId="75982415">
      <w:pPr>
        <w:spacing w:line="36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4.1符合性审查</w:t>
      </w:r>
    </w:p>
    <w:p w14:paraId="2AC94DE6">
      <w:pPr>
        <w:spacing w:line="440" w:lineRule="exact"/>
        <w:ind w:firstLine="420"/>
        <w:jc w:val="left"/>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4.1评标委员会应当对通过资格审查的投标人的投标文件进行符合性审查。投标人存在以下情形之一，符合性审查不予通过，否决其投标，不再进行后续评审：</w:t>
      </w:r>
    </w:p>
    <w:p w14:paraId="089971DC">
      <w:p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（1）投标文件未按招标文件的要求签署和盖章的；</w:t>
      </w:r>
    </w:p>
    <w:p w14:paraId="08FDB82C">
      <w:p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（2）投标文件中未提供营业执照（事业单位法人证书、社会团体法人登记证书或其他组织登记证明文件）的；</w:t>
      </w:r>
    </w:p>
    <w:p w14:paraId="7871F6D9">
      <w:p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w:t>
      </w:r>
      <w:r>
        <w:rPr>
          <w:rFonts w:hint="eastAsia" w:ascii="宋体" w:hAnsi="宋体" w:eastAsia="宋体" w:cs="宋体"/>
          <w:b w:val="0"/>
          <w:bCs w:val="0"/>
          <w:color w:val="auto"/>
          <w:sz w:val="24"/>
          <w:szCs w:val="24"/>
          <w:highlight w:val="none"/>
          <w:u w:val="single"/>
        </w:rPr>
        <w:t>3</w:t>
      </w:r>
      <w:r>
        <w:rPr>
          <w:rFonts w:hint="eastAsia" w:ascii="宋体" w:hAnsi="宋体" w:eastAsia="宋体" w:cs="宋体"/>
          <w:b w:val="0"/>
          <w:bCs w:val="0"/>
          <w:color w:val="auto"/>
          <w:sz w:val="24"/>
          <w:szCs w:val="24"/>
          <w:highlight w:val="none"/>
          <w:u w:val="single"/>
          <w:lang w:val="zh-CN"/>
        </w:rPr>
        <w:t>）投标人未按招标文件的要求递交投标保证金的（详见投标人须知第</w:t>
      </w:r>
      <w:r>
        <w:rPr>
          <w:rFonts w:hint="eastAsia" w:ascii="宋体" w:hAnsi="宋体" w:eastAsia="宋体" w:cs="宋体"/>
          <w:b w:val="0"/>
          <w:bCs w:val="0"/>
          <w:color w:val="auto"/>
          <w:sz w:val="24"/>
          <w:szCs w:val="24"/>
          <w:highlight w:val="none"/>
          <w:u w:val="single"/>
        </w:rPr>
        <w:t>4.5.2</w:t>
      </w:r>
      <w:r>
        <w:rPr>
          <w:rFonts w:hint="eastAsia" w:ascii="宋体" w:hAnsi="宋体" w:eastAsia="宋体" w:cs="宋体"/>
          <w:b w:val="0"/>
          <w:bCs w:val="0"/>
          <w:color w:val="auto"/>
          <w:sz w:val="24"/>
          <w:szCs w:val="24"/>
          <w:highlight w:val="none"/>
          <w:u w:val="single"/>
          <w:lang w:val="zh-CN"/>
        </w:rPr>
        <w:t>）；</w:t>
      </w:r>
    </w:p>
    <w:p w14:paraId="01D42684">
      <w:p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w:t>
      </w:r>
      <w:r>
        <w:rPr>
          <w:rFonts w:hint="eastAsia" w:ascii="宋体" w:hAnsi="宋体" w:eastAsia="宋体" w:cs="宋体"/>
          <w:b w:val="0"/>
          <w:bCs w:val="0"/>
          <w:color w:val="auto"/>
          <w:sz w:val="24"/>
          <w:szCs w:val="24"/>
          <w:highlight w:val="none"/>
          <w:u w:val="single"/>
          <w:lang w:val="en-US" w:eastAsia="zh-CN"/>
        </w:rPr>
        <w:t>4</w:t>
      </w:r>
      <w:r>
        <w:rPr>
          <w:rFonts w:hint="eastAsia" w:ascii="宋体" w:hAnsi="宋体" w:eastAsia="宋体" w:cs="宋体"/>
          <w:b w:val="0"/>
          <w:bCs w:val="0"/>
          <w:color w:val="auto"/>
          <w:sz w:val="24"/>
          <w:szCs w:val="24"/>
          <w:highlight w:val="none"/>
          <w:u w:val="single"/>
          <w:lang w:val="zh-CN"/>
        </w:rPr>
        <w:t>）投标文件不符合招标文件实质性要求（第三章“用户需求及技术要求”中具体条款用“▲”标注）的；</w:t>
      </w:r>
    </w:p>
    <w:p w14:paraId="1FE14862">
      <w:p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w:t>
      </w:r>
      <w:r>
        <w:rPr>
          <w:rFonts w:hint="eastAsia" w:ascii="宋体" w:hAnsi="宋体" w:eastAsia="宋体" w:cs="宋体"/>
          <w:b w:val="0"/>
          <w:bCs w:val="0"/>
          <w:color w:val="auto"/>
          <w:sz w:val="24"/>
          <w:szCs w:val="24"/>
          <w:highlight w:val="none"/>
          <w:u w:val="single"/>
          <w:lang w:val="en-US" w:eastAsia="zh-CN"/>
        </w:rPr>
        <w:t>5</w:t>
      </w:r>
      <w:r>
        <w:rPr>
          <w:rFonts w:hint="eastAsia" w:ascii="宋体" w:hAnsi="宋体" w:eastAsia="宋体" w:cs="宋体"/>
          <w:b w:val="0"/>
          <w:bCs w:val="0"/>
          <w:color w:val="auto"/>
          <w:sz w:val="24"/>
          <w:szCs w:val="24"/>
          <w:highlight w:val="none"/>
          <w:u w:val="single"/>
          <w:lang w:val="zh-CN"/>
        </w:rPr>
        <w:t>）同一投标人提交两个以上不同的投标文件或者投标报价，且投标文件中未声明哪一个有效的（招标文件要求提交备选投标的除外）；</w:t>
      </w:r>
    </w:p>
    <w:p w14:paraId="51DB77D0">
      <w:p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w:t>
      </w:r>
      <w:r>
        <w:rPr>
          <w:rFonts w:hint="eastAsia" w:ascii="宋体" w:hAnsi="宋体" w:eastAsia="宋体" w:cs="宋体"/>
          <w:b w:val="0"/>
          <w:bCs w:val="0"/>
          <w:color w:val="auto"/>
          <w:sz w:val="24"/>
          <w:szCs w:val="24"/>
          <w:highlight w:val="none"/>
          <w:u w:val="single"/>
          <w:lang w:val="en-US" w:eastAsia="zh-CN"/>
        </w:rPr>
        <w:t>6</w:t>
      </w:r>
      <w:r>
        <w:rPr>
          <w:rFonts w:hint="eastAsia" w:ascii="宋体" w:hAnsi="宋体" w:eastAsia="宋体" w:cs="宋体"/>
          <w:b w:val="0"/>
          <w:bCs w:val="0"/>
          <w:color w:val="auto"/>
          <w:sz w:val="24"/>
          <w:szCs w:val="24"/>
          <w:highlight w:val="none"/>
          <w:u w:val="single"/>
          <w:lang w:val="zh-CN"/>
        </w:rPr>
        <w:t>）投标报价超出招标文件规定的限价的；</w:t>
      </w:r>
    </w:p>
    <w:p w14:paraId="35B9D6DD">
      <w:p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w:t>
      </w:r>
      <w:r>
        <w:rPr>
          <w:rFonts w:hint="eastAsia" w:ascii="宋体" w:hAnsi="宋体" w:eastAsia="宋体" w:cs="宋体"/>
          <w:b w:val="0"/>
          <w:bCs w:val="0"/>
          <w:color w:val="auto"/>
          <w:sz w:val="24"/>
          <w:szCs w:val="24"/>
          <w:highlight w:val="none"/>
          <w:u w:val="single"/>
          <w:lang w:val="en-US" w:eastAsia="zh-CN"/>
        </w:rPr>
        <w:t>7</w:t>
      </w:r>
      <w:r>
        <w:rPr>
          <w:rFonts w:hint="eastAsia" w:ascii="宋体" w:hAnsi="宋体" w:eastAsia="宋体" w:cs="宋体"/>
          <w:b w:val="0"/>
          <w:bCs w:val="0"/>
          <w:color w:val="auto"/>
          <w:sz w:val="24"/>
          <w:szCs w:val="24"/>
          <w:highlight w:val="none"/>
          <w:u w:val="single"/>
          <w:lang w:val="zh-CN"/>
        </w:rPr>
        <w:t>）投标文件未按规定的格式（招标文件第五章“投标文件格式”）编制或内容不全或关键字迹模糊、无法辨认的；</w:t>
      </w:r>
    </w:p>
    <w:p w14:paraId="34993284">
      <w:p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w:t>
      </w:r>
      <w:r>
        <w:rPr>
          <w:rFonts w:hint="eastAsia" w:ascii="宋体" w:hAnsi="宋体" w:eastAsia="宋体" w:cs="宋体"/>
          <w:b w:val="0"/>
          <w:bCs w:val="0"/>
          <w:color w:val="auto"/>
          <w:sz w:val="24"/>
          <w:szCs w:val="24"/>
          <w:highlight w:val="none"/>
          <w:u w:val="single"/>
          <w:lang w:val="en-US" w:eastAsia="zh-CN"/>
        </w:rPr>
        <w:t>8</w:t>
      </w:r>
      <w:r>
        <w:rPr>
          <w:rFonts w:hint="eastAsia" w:ascii="宋体" w:hAnsi="宋体" w:eastAsia="宋体" w:cs="宋体"/>
          <w:b w:val="0"/>
          <w:bCs w:val="0"/>
          <w:color w:val="auto"/>
          <w:sz w:val="24"/>
          <w:szCs w:val="24"/>
          <w:highlight w:val="none"/>
          <w:u w:val="single"/>
          <w:lang w:val="zh-CN"/>
        </w:rPr>
        <w:t>）投标文件中承诺的投标有效期少于招标文件中载明的投标有效期的；</w:t>
      </w:r>
    </w:p>
    <w:p w14:paraId="540E01AE">
      <w:p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（1</w:t>
      </w:r>
      <w:r>
        <w:rPr>
          <w:rFonts w:hint="eastAsia" w:ascii="宋体" w:hAnsi="宋体" w:eastAsia="宋体" w:cs="宋体"/>
          <w:b w:val="0"/>
          <w:bCs w:val="0"/>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lang w:val="zh-CN"/>
        </w:rPr>
        <w:t>）投标人根据招标文件规定及投标内容对招标人所作的任何合法承诺或响应存在与实际不符的；</w:t>
      </w:r>
    </w:p>
    <w:p w14:paraId="20DFA27B">
      <w:pPr>
        <w:numPr>
          <w:ilvl w:val="-1"/>
          <w:numId w:val="0"/>
        </w:numPr>
        <w:spacing w:line="360" w:lineRule="auto"/>
        <w:ind w:firstLine="480" w:firstLineChars="200"/>
        <w:rPr>
          <w:rFonts w:hint="eastAsia" w:ascii="宋体" w:hAnsi="宋体" w:eastAsia="宋体" w:cs="宋体"/>
          <w:b w:val="0"/>
          <w:bCs w:val="0"/>
          <w:color w:val="auto"/>
          <w:sz w:val="24"/>
          <w:szCs w:val="24"/>
          <w:highlight w:val="none"/>
          <w:u w:val="single"/>
          <w:lang w:val="zh-CN"/>
        </w:rPr>
      </w:pPr>
      <w:r>
        <w:rPr>
          <w:rFonts w:hint="eastAsia" w:ascii="宋体" w:hAnsi="宋体" w:eastAsia="宋体" w:cs="宋体"/>
          <w:b w:val="0"/>
          <w:bCs w:val="0"/>
          <w:color w:val="auto"/>
          <w:sz w:val="24"/>
          <w:szCs w:val="24"/>
          <w:highlight w:val="none"/>
          <w:u w:val="single"/>
          <w:lang w:val="zh-CN"/>
        </w:rPr>
        <w:t>（1</w:t>
      </w:r>
      <w:r>
        <w:rPr>
          <w:rFonts w:hint="eastAsia" w:ascii="宋体" w:hAnsi="宋体" w:eastAsia="宋体" w:cs="宋体"/>
          <w:b w:val="0"/>
          <w:bCs w:val="0"/>
          <w:color w:val="auto"/>
          <w:sz w:val="24"/>
          <w:szCs w:val="24"/>
          <w:highlight w:val="none"/>
          <w:u w:val="single"/>
          <w:lang w:val="en-US" w:eastAsia="zh-CN"/>
        </w:rPr>
        <w:t>1</w:t>
      </w:r>
      <w:r>
        <w:rPr>
          <w:rFonts w:hint="eastAsia" w:ascii="宋体" w:hAnsi="宋体" w:eastAsia="宋体" w:cs="宋体"/>
          <w:b w:val="0"/>
          <w:bCs w:val="0"/>
          <w:color w:val="auto"/>
          <w:sz w:val="24"/>
          <w:szCs w:val="24"/>
          <w:highlight w:val="none"/>
          <w:u w:val="single"/>
          <w:lang w:val="zh-CN"/>
        </w:rPr>
        <w:t>）投标人对根据修正原则修正后的报价不予确认的；</w:t>
      </w:r>
    </w:p>
    <w:p w14:paraId="733B162D">
      <w:pPr>
        <w:numPr>
          <w:ilvl w:val="0"/>
          <w:numId w:val="0"/>
        </w:num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（12）存在法律、法规规定的其他否决投标情形的。</w:t>
      </w:r>
    </w:p>
    <w:p w14:paraId="28C813F6">
      <w:p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（13）经评标委员会审核，投标人符合以下情形之一的，视为投标人串通投标的，其投标无效：</w:t>
      </w:r>
    </w:p>
    <w:p w14:paraId="732BA01C">
      <w:p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①不同投标人的投标文件由同一单位或者个人编制； </w:t>
      </w:r>
    </w:p>
    <w:p w14:paraId="239C5AA4">
      <w:p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②不同投标人委托同一单位或者个人办理投标事宜； </w:t>
      </w:r>
    </w:p>
    <w:p w14:paraId="02A4F060">
      <w:p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③不同投标人的投标文件载明的项目管理成员或者联系人员为同一人； </w:t>
      </w:r>
    </w:p>
    <w:p w14:paraId="012C6E7A">
      <w:p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④不同投标人的投标文件异常一致或者投标报价呈规律性差异； </w:t>
      </w:r>
    </w:p>
    <w:p w14:paraId="3C6C11CF">
      <w:p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 xml:space="preserve">⑤不同投标人的投标文件相互混装； </w:t>
      </w:r>
    </w:p>
    <w:p w14:paraId="0661B32C">
      <w:p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sz w:val="24"/>
          <w:szCs w:val="24"/>
          <w:highlight w:val="none"/>
          <w:u w:val="single"/>
          <w:lang w:val="en-US" w:eastAsia="zh-CN"/>
        </w:rPr>
        <w:t>⑥不同投标人的投标保证金从同一单位或者个人的账户转出。</w:t>
      </w:r>
    </w:p>
    <w:p w14:paraId="2012A0C2">
      <w:pPr>
        <w:spacing w:line="360" w:lineRule="auto"/>
        <w:ind w:firstLine="480" w:firstLineChars="200"/>
        <w:rPr>
          <w:rFonts w:hint="eastAsia" w:ascii="宋体" w:hAnsi="宋体" w:eastAsia="宋体" w:cs="宋体"/>
          <w:b w:val="0"/>
          <w:bCs w:val="0"/>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u w:val="single"/>
          <w:lang w:val="en-US" w:eastAsia="zh-CN" w:bidi="ar-SA"/>
        </w:rPr>
        <w:t>（14）投标人拒不按照要求对投标文件进行澄清、说明、补正的。或评标委员会根据招标文件规定对投标文件的计算错误进行修正后，投标人不接受修正后的投标报价的；</w:t>
      </w:r>
    </w:p>
    <w:p w14:paraId="520EA1A5">
      <w:pPr>
        <w:spacing w:line="440" w:lineRule="exact"/>
        <w:ind w:firstLine="420"/>
        <w:jc w:val="left"/>
        <w:rPr>
          <w:rFonts w:hint="eastAsia"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4.2有效标认定</w:t>
      </w:r>
    </w:p>
    <w:p w14:paraId="7103B9AF">
      <w:pPr>
        <w:spacing w:line="440" w:lineRule="exact"/>
        <w:ind w:firstLine="420"/>
        <w:jc w:val="left"/>
        <w:rPr>
          <w:rFonts w:hint="eastAsia" w:ascii="宋体" w:hAnsi="宋体" w:eastAsia="宋体" w:cs="宋体"/>
          <w:b w:val="0"/>
          <w:bCs w:val="0"/>
          <w:color w:val="auto"/>
          <w:spacing w:val="6"/>
          <w:sz w:val="24"/>
          <w:szCs w:val="24"/>
          <w:highlight w:val="none"/>
        </w:rPr>
      </w:pPr>
      <w:r>
        <w:rPr>
          <w:rFonts w:hint="eastAsia" w:ascii="宋体" w:hAnsi="宋体" w:eastAsia="宋体" w:cs="宋体"/>
          <w:b w:val="0"/>
          <w:bCs w:val="0"/>
          <w:color w:val="auto"/>
          <w:spacing w:val="6"/>
          <w:sz w:val="24"/>
          <w:szCs w:val="24"/>
          <w:highlight w:val="none"/>
        </w:rPr>
        <w:t>通过资格审查和符合性审查的有效投标人不足3家的，评标委员会应认定本次投标是否具有竞争性，若评标委员会认定本次投标明显缺乏竞争的，可以否决所有投标。</w:t>
      </w:r>
    </w:p>
    <w:p w14:paraId="5DE8D6B0">
      <w:pPr>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5、详细评审</w:t>
      </w:r>
    </w:p>
    <w:p w14:paraId="770BE9FB">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5.1</w:t>
      </w:r>
      <w:r>
        <w:rPr>
          <w:rFonts w:hint="eastAsia" w:ascii="宋体" w:hAnsi="宋体" w:eastAsia="宋体" w:cs="宋体"/>
          <w:color w:val="auto"/>
          <w:sz w:val="24"/>
          <w:szCs w:val="24"/>
          <w:highlight w:val="none"/>
        </w:rPr>
        <w:t>评标委员会对通过初步评审的有效标的投标文件进行详细评审。投标人存在以下情形之一，详细审查不予通过，否决其投标，不再进行后续评审：</w:t>
      </w:r>
    </w:p>
    <w:p w14:paraId="3AB2A34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（1）关键技术方案不可行的；</w:t>
      </w:r>
    </w:p>
    <w:p w14:paraId="03D048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（2）项目组成员配备不满足招标文件要求的；</w:t>
      </w:r>
    </w:p>
    <w:p w14:paraId="1C1072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（3）采用的验收标准或主要技术指标不符合国家强制性标准或招标文件要求的；</w:t>
      </w:r>
    </w:p>
    <w:p w14:paraId="6CBBA5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（4）投标人因自身原因导致报价存在漏项或重大失误、投标报价低于成本（投标人不能合理说明或者不能提供相关证明材料）的；</w:t>
      </w:r>
    </w:p>
    <w:p w14:paraId="13936F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）存在法律、法规规定的其他否决投标情形的(否决时需明确引用的具体条款及内容)。</w:t>
      </w:r>
    </w:p>
    <w:p w14:paraId="0F49F838">
      <w:pPr>
        <w:spacing w:line="360" w:lineRule="auto"/>
        <w:ind w:firstLine="0" w:firstLineChars="0"/>
        <w:rPr>
          <w:rFonts w:hint="eastAsia" w:ascii="宋体" w:hAnsi="宋体" w:eastAsia="宋体" w:cs="宋体"/>
          <w:color w:val="auto"/>
          <w:spacing w:val="11"/>
          <w:sz w:val="24"/>
          <w:szCs w:val="24"/>
          <w:highlight w:val="none"/>
        </w:rPr>
      </w:pPr>
      <w:r>
        <w:rPr>
          <w:rFonts w:hint="eastAsia" w:ascii="宋体" w:hAnsi="宋体" w:eastAsia="宋体" w:cs="宋体"/>
          <w:color w:val="auto"/>
          <w:sz w:val="24"/>
          <w:szCs w:val="24"/>
          <w:highlight w:val="none"/>
        </w:rPr>
        <w:t xml:space="preserve"> </w:t>
      </w:r>
    </w:p>
    <w:p w14:paraId="5E7DF741">
      <w:pPr>
        <w:pStyle w:val="3"/>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6、投标文件澄清、报价修正</w:t>
      </w:r>
    </w:p>
    <w:p w14:paraId="5F921FC0">
      <w:pPr>
        <w:spacing w:line="440" w:lineRule="exact"/>
        <w:ind w:firstLine="508" w:firstLineChars="200"/>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6.1在评标过程中，评标委员会可以书面形式要求投标人对所提交的投标文件中不明确的内容进行书面澄清、说明或者补正。投标人代表应保证联络方式畅通，并应在接到电话通知后的规定时间内将投标人签署盖章的澄清、说明资料扫描件按要求进行上传。给予投标人提交澄清、说明或补正的时间不得少于半小时，投标人已经明确表示澄清说明或补正完毕的除外（投标人澄清应当一次性回复完毕）。</w:t>
      </w:r>
    </w:p>
    <w:p w14:paraId="3C24EAA4">
      <w:pPr>
        <w:spacing w:line="440" w:lineRule="exact"/>
        <w:ind w:firstLine="508" w:firstLineChars="200"/>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6.2有关澄清、说明与补正</w:t>
      </w:r>
      <w:r>
        <w:rPr>
          <w:rFonts w:hint="eastAsia" w:ascii="宋体" w:hAnsi="宋体" w:eastAsia="宋体" w:cs="宋体"/>
          <w:color w:val="auto"/>
          <w:spacing w:val="7"/>
          <w:sz w:val="24"/>
          <w:szCs w:val="24"/>
          <w:highlight w:val="none"/>
          <w:lang w:eastAsia="zh-CN"/>
        </w:rPr>
        <w:t>不得</w:t>
      </w:r>
      <w:r>
        <w:rPr>
          <w:rFonts w:hint="eastAsia" w:ascii="宋体" w:hAnsi="宋体" w:eastAsia="宋体" w:cs="宋体"/>
          <w:color w:val="auto"/>
          <w:spacing w:val="7"/>
          <w:sz w:val="24"/>
          <w:szCs w:val="24"/>
          <w:highlight w:val="none"/>
        </w:rPr>
        <w:t>对投标报价和</w:t>
      </w:r>
      <w:r>
        <w:rPr>
          <w:rFonts w:hint="eastAsia" w:ascii="宋体" w:hAnsi="宋体" w:eastAsia="宋体" w:cs="宋体"/>
          <w:color w:val="auto"/>
          <w:spacing w:val="7"/>
          <w:sz w:val="24"/>
          <w:szCs w:val="24"/>
          <w:highlight w:val="none"/>
          <w:lang w:eastAsia="zh-CN"/>
        </w:rPr>
        <w:t>投标文件的</w:t>
      </w:r>
      <w:r>
        <w:rPr>
          <w:rFonts w:hint="eastAsia" w:ascii="宋体" w:hAnsi="宋体" w:eastAsia="宋体" w:cs="宋体"/>
          <w:color w:val="auto"/>
          <w:spacing w:val="7"/>
          <w:sz w:val="24"/>
          <w:szCs w:val="24"/>
          <w:highlight w:val="none"/>
        </w:rPr>
        <w:t>实质性内容</w:t>
      </w:r>
      <w:r>
        <w:rPr>
          <w:rFonts w:hint="eastAsia" w:ascii="宋体" w:hAnsi="宋体" w:eastAsia="宋体" w:cs="宋体"/>
          <w:color w:val="auto"/>
          <w:spacing w:val="7"/>
          <w:sz w:val="24"/>
          <w:szCs w:val="24"/>
          <w:highlight w:val="none"/>
          <w:lang w:eastAsia="zh-CN"/>
        </w:rPr>
        <w:t>进行</w:t>
      </w:r>
      <w:r>
        <w:rPr>
          <w:rFonts w:hint="eastAsia" w:ascii="宋体" w:hAnsi="宋体" w:eastAsia="宋体" w:cs="宋体"/>
          <w:color w:val="auto"/>
          <w:spacing w:val="7"/>
          <w:sz w:val="24"/>
          <w:szCs w:val="24"/>
          <w:highlight w:val="none"/>
        </w:rPr>
        <w:t>更改（报价修正除外）。投标人的书面澄清、说明和补正属于投标文件的组成部分。</w:t>
      </w:r>
    </w:p>
    <w:p w14:paraId="0CD65BA6">
      <w:pPr>
        <w:spacing w:line="440" w:lineRule="exact"/>
        <w:ind w:firstLine="508" w:firstLineChars="200"/>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6.3 评标委员会对投标人提交的澄清、说明或补正有疑问的，可以要求投标人进一步澄清、说明或补正，直至满足评标委员会的要求。</w:t>
      </w:r>
    </w:p>
    <w:p w14:paraId="11BC1BF3">
      <w:pPr>
        <w:spacing w:line="440" w:lineRule="exact"/>
        <w:ind w:firstLine="508" w:firstLineChars="200"/>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6.4评标委员会不接受投标人主动提出的澄清、说明或补正。</w:t>
      </w:r>
    </w:p>
    <w:p w14:paraId="5BE51C3F">
      <w:pPr>
        <w:spacing w:line="440" w:lineRule="exact"/>
        <w:ind w:firstLine="508" w:firstLineChars="200"/>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6.5投标报价出现前后不一致的，评标委员会应按照下列原则修正：</w:t>
      </w:r>
    </w:p>
    <w:p w14:paraId="49822FE6">
      <w:pPr>
        <w:spacing w:line="440" w:lineRule="exact"/>
        <w:ind w:firstLine="508" w:firstLineChars="200"/>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（1）投标文件中投标函内容与投标文件中相应内容不一致的，以投标函为准；</w:t>
      </w:r>
    </w:p>
    <w:p w14:paraId="2CF36DCD">
      <w:pPr>
        <w:spacing w:line="440" w:lineRule="exact"/>
        <w:ind w:firstLine="508" w:firstLineChars="200"/>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（2）大写金额和小写金额不一致的，以大写金额为准；</w:t>
      </w:r>
    </w:p>
    <w:p w14:paraId="1E80798C">
      <w:pPr>
        <w:spacing w:line="440" w:lineRule="exact"/>
        <w:ind w:firstLine="508" w:firstLineChars="200"/>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（3）总价金额与按单价汇总金额不一致的，以总价为准，修改单价；</w:t>
      </w:r>
    </w:p>
    <w:p w14:paraId="021E1633">
      <w:pPr>
        <w:spacing w:line="440" w:lineRule="exact"/>
        <w:ind w:firstLine="508" w:firstLineChars="200"/>
        <w:contextualSpacing/>
        <w:rPr>
          <w:rFonts w:hint="eastAsia" w:ascii="宋体" w:hAnsi="宋体" w:eastAsia="宋体" w:cs="宋体"/>
          <w:color w:val="auto"/>
          <w:spacing w:val="7"/>
          <w:sz w:val="24"/>
          <w:szCs w:val="24"/>
          <w:highlight w:val="none"/>
        </w:rPr>
      </w:pPr>
      <w:r>
        <w:rPr>
          <w:rFonts w:hint="eastAsia" w:ascii="宋体" w:hAnsi="宋体" w:eastAsia="宋体" w:cs="宋体"/>
          <w:color w:val="auto"/>
          <w:spacing w:val="7"/>
          <w:sz w:val="24"/>
          <w:szCs w:val="24"/>
          <w:highlight w:val="none"/>
        </w:rPr>
        <w:t>（4）计量单位与第二章“投标人须知”第1.12款不符的，按招标文件规定进行修正。</w:t>
      </w:r>
    </w:p>
    <w:p w14:paraId="5C7AB4A3">
      <w:pPr>
        <w:pStyle w:val="3"/>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7、排序与推荐中标候选人</w:t>
      </w:r>
    </w:p>
    <w:p w14:paraId="069A0C58">
      <w:pPr>
        <w:pStyle w:val="3"/>
        <w:spacing w:before="140" w:after="140" w:line="360" w:lineRule="auto"/>
        <w:ind w:firstLine="508" w:firstLineChars="200"/>
        <w:jc w:val="left"/>
        <w:rPr>
          <w:rFonts w:hint="eastAsia" w:ascii="宋体" w:hAnsi="宋体" w:eastAsia="宋体" w:cs="宋体"/>
          <w:b w:val="0"/>
          <w:bCs w:val="0"/>
          <w:color w:val="auto"/>
          <w:spacing w:val="7"/>
          <w:sz w:val="24"/>
          <w:szCs w:val="24"/>
          <w:highlight w:val="none"/>
        </w:rPr>
      </w:pPr>
      <w:r>
        <w:rPr>
          <w:rFonts w:hint="eastAsia" w:ascii="宋体" w:hAnsi="宋体" w:eastAsia="宋体" w:cs="宋体"/>
          <w:b w:val="0"/>
          <w:bCs w:val="0"/>
          <w:color w:val="auto"/>
          <w:spacing w:val="7"/>
          <w:sz w:val="24"/>
          <w:szCs w:val="24"/>
          <w:highlight w:val="none"/>
        </w:rPr>
        <w:t>7.1评标委员会从有效投标中按</w:t>
      </w:r>
      <w:r>
        <w:rPr>
          <w:rFonts w:hint="eastAsia" w:ascii="宋体" w:hAnsi="宋体" w:eastAsia="宋体" w:cs="宋体"/>
          <w:b/>
          <w:bCs/>
          <w:color w:val="auto"/>
          <w:spacing w:val="7"/>
          <w:sz w:val="24"/>
          <w:szCs w:val="24"/>
          <w:highlight w:val="none"/>
        </w:rPr>
        <w:t>投标报价</w:t>
      </w:r>
      <w:r>
        <w:rPr>
          <w:rFonts w:hint="eastAsia" w:ascii="宋体" w:hAnsi="宋体" w:eastAsia="宋体" w:cs="宋体"/>
          <w:b/>
          <w:bCs/>
          <w:color w:val="auto"/>
          <w:spacing w:val="7"/>
          <w:sz w:val="24"/>
          <w:szCs w:val="24"/>
          <w:highlight w:val="none"/>
        </w:rPr>
        <w:sym w:font="Wingdings 2" w:char="0052"/>
      </w:r>
      <w:r>
        <w:rPr>
          <w:rFonts w:hint="eastAsia" w:ascii="宋体" w:hAnsi="宋体" w:eastAsia="宋体" w:cs="宋体"/>
          <w:b/>
          <w:bCs/>
          <w:color w:val="auto"/>
          <w:spacing w:val="7"/>
          <w:sz w:val="24"/>
          <w:szCs w:val="24"/>
          <w:highlight w:val="none"/>
        </w:rPr>
        <w:t>由低到高</w:t>
      </w:r>
      <w:r>
        <w:rPr>
          <w:rFonts w:hint="eastAsia" w:ascii="宋体" w:hAnsi="宋体" w:eastAsia="宋体" w:cs="宋体"/>
          <w:b w:val="0"/>
          <w:bCs w:val="0"/>
          <w:color w:val="auto"/>
          <w:spacing w:val="7"/>
          <w:sz w:val="24"/>
          <w:szCs w:val="24"/>
          <w:highlight w:val="none"/>
        </w:rPr>
        <w:t>推荐中标候选人（中标候选人数见投标人须知前附表）。若报价相同，则由评标委员会按少数服从多数的原则通过投票表决决定排名先后。</w:t>
      </w:r>
    </w:p>
    <w:p w14:paraId="74A7210F">
      <w:pPr>
        <w:pStyle w:val="3"/>
        <w:spacing w:before="140" w:after="14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8、完成评标报告</w:t>
      </w:r>
    </w:p>
    <w:p w14:paraId="63C2B695">
      <w:pPr>
        <w:spacing w:line="400" w:lineRule="exact"/>
        <w:ind w:right="2" w:firstLine="42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8.1 </w:t>
      </w:r>
      <w:r>
        <w:rPr>
          <w:rFonts w:hint="eastAsia" w:ascii="宋体" w:hAnsi="宋体" w:eastAsia="宋体" w:cs="宋体"/>
          <w:color w:val="auto"/>
          <w:spacing w:val="11"/>
          <w:sz w:val="24"/>
          <w:szCs w:val="24"/>
          <w:highlight w:val="none"/>
        </w:rPr>
        <w:t>评标委员会完成评标后，应当根据全体评标成员签字的原始评标记录和</w:t>
      </w:r>
      <w:r>
        <w:rPr>
          <w:rFonts w:hint="eastAsia" w:ascii="宋体" w:hAnsi="宋体" w:eastAsia="宋体" w:cs="宋体"/>
          <w:color w:val="auto"/>
          <w:spacing w:val="10"/>
          <w:sz w:val="24"/>
          <w:szCs w:val="24"/>
          <w:highlight w:val="none"/>
        </w:rPr>
        <w:t>评标结果编写评标</w:t>
      </w:r>
      <w:r>
        <w:rPr>
          <w:rFonts w:hint="eastAsia" w:ascii="宋体" w:hAnsi="宋体" w:eastAsia="宋体" w:cs="宋体"/>
          <w:color w:val="auto"/>
          <w:spacing w:val="8"/>
          <w:sz w:val="24"/>
          <w:szCs w:val="24"/>
          <w:highlight w:val="none"/>
        </w:rPr>
        <w:t>报告，并推荐中标候选人，评审报告由评标委员会成员</w:t>
      </w:r>
      <w:r>
        <w:rPr>
          <w:rFonts w:hint="eastAsia" w:ascii="宋体" w:hAnsi="宋体" w:eastAsia="宋体" w:cs="宋体"/>
          <w:color w:val="auto"/>
          <w:spacing w:val="7"/>
          <w:sz w:val="24"/>
          <w:szCs w:val="24"/>
          <w:highlight w:val="none"/>
        </w:rPr>
        <w:t>签字确认提交招标人</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并抄送有关监督部门</w:t>
      </w:r>
      <w:r>
        <w:rPr>
          <w:rFonts w:hint="eastAsia" w:ascii="宋体" w:hAnsi="宋体" w:eastAsia="宋体" w:cs="宋体"/>
          <w:color w:val="auto"/>
          <w:spacing w:val="8"/>
          <w:sz w:val="24"/>
          <w:szCs w:val="24"/>
          <w:highlight w:val="none"/>
        </w:rPr>
        <w:t>。</w:t>
      </w:r>
    </w:p>
    <w:p w14:paraId="4EA48018">
      <w:pPr>
        <w:spacing w:line="400" w:lineRule="exact"/>
        <w:ind w:left="3" w:right="2" w:firstLine="41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 xml:space="preserve">8.2 </w:t>
      </w:r>
      <w:r>
        <w:rPr>
          <w:rFonts w:hint="eastAsia" w:ascii="宋体" w:hAnsi="宋体" w:eastAsia="宋体" w:cs="宋体"/>
          <w:color w:val="auto"/>
          <w:spacing w:val="11"/>
          <w:sz w:val="24"/>
          <w:szCs w:val="24"/>
          <w:highlight w:val="none"/>
        </w:rPr>
        <w:t>评标委员会成员对需要共同认定的事项存在争议的，应当按照少数服从</w:t>
      </w:r>
      <w:r>
        <w:rPr>
          <w:rFonts w:hint="eastAsia" w:ascii="宋体" w:hAnsi="宋体" w:eastAsia="宋体" w:cs="宋体"/>
          <w:color w:val="auto"/>
          <w:spacing w:val="10"/>
          <w:sz w:val="24"/>
          <w:szCs w:val="24"/>
          <w:highlight w:val="none"/>
        </w:rPr>
        <w:t>多数的原则作出结</w:t>
      </w:r>
      <w:r>
        <w:rPr>
          <w:rFonts w:hint="eastAsia" w:ascii="宋体" w:hAnsi="宋体" w:eastAsia="宋体" w:cs="宋体"/>
          <w:color w:val="auto"/>
          <w:spacing w:val="8"/>
          <w:sz w:val="24"/>
          <w:szCs w:val="24"/>
          <w:highlight w:val="none"/>
        </w:rPr>
        <w:t>论。持不同意见的评标委员会成员应当在评标</w:t>
      </w:r>
      <w:r>
        <w:rPr>
          <w:rFonts w:hint="eastAsia" w:ascii="宋体" w:hAnsi="宋体" w:eastAsia="宋体" w:cs="宋体"/>
          <w:color w:val="auto"/>
          <w:spacing w:val="7"/>
          <w:sz w:val="24"/>
          <w:szCs w:val="24"/>
          <w:highlight w:val="none"/>
        </w:rPr>
        <w:t>报告上签署不同意见及理由</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否则视为同意评标报告</w:t>
      </w:r>
      <w:r>
        <w:rPr>
          <w:rFonts w:hint="eastAsia" w:ascii="宋体" w:hAnsi="宋体" w:eastAsia="宋体" w:cs="宋体"/>
          <w:color w:val="auto"/>
          <w:spacing w:val="8"/>
          <w:sz w:val="24"/>
          <w:szCs w:val="24"/>
          <w:highlight w:val="none"/>
        </w:rPr>
        <w:t>。</w:t>
      </w:r>
    </w:p>
    <w:p w14:paraId="0D040D05">
      <w:pPr>
        <w:spacing w:line="400" w:lineRule="exact"/>
        <w:ind w:firstLine="42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 xml:space="preserve">8.3 </w:t>
      </w:r>
      <w:r>
        <w:rPr>
          <w:rFonts w:hint="eastAsia" w:ascii="宋体" w:hAnsi="宋体" w:eastAsia="宋体" w:cs="宋体"/>
          <w:color w:val="auto"/>
          <w:spacing w:val="5"/>
          <w:sz w:val="24"/>
          <w:szCs w:val="24"/>
          <w:highlight w:val="none"/>
        </w:rPr>
        <w:t>评标报告应包</w:t>
      </w:r>
      <w:r>
        <w:rPr>
          <w:rFonts w:hint="eastAsia" w:ascii="宋体" w:hAnsi="宋体" w:eastAsia="宋体" w:cs="宋体"/>
          <w:color w:val="auto"/>
          <w:spacing w:val="4"/>
          <w:sz w:val="24"/>
          <w:szCs w:val="24"/>
          <w:highlight w:val="none"/>
        </w:rPr>
        <w:t>括以下内容</w:t>
      </w:r>
      <w:r>
        <w:rPr>
          <w:rFonts w:hint="eastAsia" w:ascii="宋体" w:hAnsi="宋体" w:eastAsia="宋体" w:cs="宋体"/>
          <w:color w:val="auto"/>
          <w:spacing w:val="5"/>
          <w:sz w:val="24"/>
          <w:szCs w:val="24"/>
          <w:highlight w:val="none"/>
        </w:rPr>
        <w:t>：</w:t>
      </w:r>
    </w:p>
    <w:p w14:paraId="4018F33B">
      <w:pPr>
        <w:spacing w:line="400" w:lineRule="exact"/>
        <w:ind w:firstLine="43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1</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开标记录</w:t>
      </w:r>
      <w:r>
        <w:rPr>
          <w:rFonts w:hint="eastAsia" w:ascii="宋体" w:hAnsi="宋体" w:eastAsia="宋体" w:cs="宋体"/>
          <w:color w:val="auto"/>
          <w:spacing w:val="8"/>
          <w:sz w:val="24"/>
          <w:szCs w:val="24"/>
          <w:highlight w:val="none"/>
        </w:rPr>
        <w:t>；</w:t>
      </w:r>
    </w:p>
    <w:p w14:paraId="37E2B686">
      <w:pPr>
        <w:spacing w:line="400" w:lineRule="exact"/>
        <w:ind w:firstLine="43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5"/>
          <w:sz w:val="24"/>
          <w:szCs w:val="24"/>
          <w:highlight w:val="none"/>
        </w:rPr>
        <w:t>2</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评标</w:t>
      </w:r>
      <w:r>
        <w:rPr>
          <w:rFonts w:hint="eastAsia" w:ascii="宋体" w:hAnsi="宋体" w:eastAsia="宋体" w:cs="宋体"/>
          <w:color w:val="auto"/>
          <w:spacing w:val="7"/>
          <w:sz w:val="24"/>
          <w:szCs w:val="24"/>
          <w:highlight w:val="none"/>
        </w:rPr>
        <w:t>内容</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7"/>
          <w:sz w:val="24"/>
          <w:szCs w:val="24"/>
          <w:highlight w:val="none"/>
        </w:rPr>
        <w:t>过程和结果</w:t>
      </w:r>
      <w:r>
        <w:rPr>
          <w:rFonts w:hint="eastAsia" w:ascii="宋体" w:hAnsi="宋体" w:eastAsia="宋体" w:cs="宋体"/>
          <w:color w:val="auto"/>
          <w:spacing w:val="9"/>
          <w:sz w:val="24"/>
          <w:szCs w:val="24"/>
          <w:highlight w:val="none"/>
        </w:rPr>
        <w:t>；</w:t>
      </w:r>
    </w:p>
    <w:p w14:paraId="71160F7D">
      <w:pPr>
        <w:spacing w:line="400" w:lineRule="exact"/>
        <w:ind w:firstLine="43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3</w:t>
      </w: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6"/>
          <w:sz w:val="24"/>
          <w:szCs w:val="24"/>
          <w:highlight w:val="none"/>
        </w:rPr>
        <w:t>否决投标情况说明及依据（包括对投标竞争性认定的理由（若有</w:t>
      </w:r>
      <w:r>
        <w:rPr>
          <w:rFonts w:hint="eastAsia" w:ascii="宋体" w:hAnsi="宋体" w:eastAsia="宋体" w:cs="宋体"/>
          <w:color w:val="auto"/>
          <w:spacing w:val="7"/>
          <w:sz w:val="24"/>
          <w:szCs w:val="24"/>
          <w:highlight w:val="none"/>
        </w:rPr>
        <w:t>））；</w:t>
      </w:r>
    </w:p>
    <w:p w14:paraId="5E7507DE">
      <w:pPr>
        <w:spacing w:line="400" w:lineRule="exact"/>
        <w:ind w:firstLine="43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询标澄清纪要</w:t>
      </w:r>
      <w:r>
        <w:rPr>
          <w:rFonts w:hint="eastAsia" w:ascii="宋体" w:hAnsi="宋体" w:eastAsia="宋体" w:cs="宋体"/>
          <w:color w:val="auto"/>
          <w:spacing w:val="9"/>
          <w:sz w:val="24"/>
          <w:szCs w:val="24"/>
          <w:highlight w:val="none"/>
        </w:rPr>
        <w:t>；</w:t>
      </w:r>
    </w:p>
    <w:p w14:paraId="30DC0A3F">
      <w:pPr>
        <w:spacing w:line="400" w:lineRule="exact"/>
        <w:ind w:firstLine="431"/>
        <w:rPr>
          <w:rFonts w:hint="eastAsia" w:ascii="宋体" w:hAnsi="宋体" w:eastAsia="宋体" w:cs="宋体"/>
          <w:color w:val="auto"/>
          <w:spacing w:val="8"/>
          <w:sz w:val="24"/>
          <w:szCs w:val="24"/>
          <w:highlight w:val="none"/>
        </w:rPr>
      </w:pP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4"/>
          <w:sz w:val="24"/>
          <w:szCs w:val="24"/>
          <w:highlight w:val="none"/>
        </w:rPr>
        <w:t>5</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8"/>
          <w:sz w:val="24"/>
          <w:szCs w:val="24"/>
          <w:highlight w:val="none"/>
        </w:rPr>
        <w:t>中标候选人的优劣对比和存在问题（</w:t>
      </w:r>
      <w:r>
        <w:rPr>
          <w:rFonts w:hint="eastAsia" w:ascii="宋体" w:hAnsi="宋体" w:eastAsia="宋体" w:cs="宋体"/>
          <w:color w:val="auto"/>
          <w:spacing w:val="6"/>
          <w:sz w:val="24"/>
          <w:szCs w:val="24"/>
          <w:highlight w:val="none"/>
        </w:rPr>
        <w:t>若有</w:t>
      </w:r>
      <w:r>
        <w:rPr>
          <w:rFonts w:hint="eastAsia" w:ascii="宋体" w:hAnsi="宋体" w:eastAsia="宋体" w:cs="宋体"/>
          <w:color w:val="auto"/>
          <w:spacing w:val="8"/>
          <w:sz w:val="24"/>
          <w:szCs w:val="24"/>
          <w:highlight w:val="none"/>
        </w:rPr>
        <w:t>）；</w:t>
      </w:r>
    </w:p>
    <w:p w14:paraId="7824A2EF">
      <w:pPr>
        <w:spacing w:line="400" w:lineRule="exact"/>
        <w:ind w:firstLine="431"/>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（6）评标委员会成员的不同意见及理由（若有）；</w:t>
      </w:r>
    </w:p>
    <w:p w14:paraId="2792055B">
      <w:pPr>
        <w:spacing w:line="400" w:lineRule="exact"/>
        <w:ind w:firstLine="431"/>
        <w:rPr>
          <w:rFonts w:hint="eastAsia" w:ascii="宋体" w:hAnsi="宋体" w:eastAsia="宋体" w:cs="宋体"/>
          <w:b/>
          <w:bCs/>
          <w:color w:val="auto"/>
          <w:sz w:val="24"/>
          <w:szCs w:val="24"/>
          <w:highlight w:val="none"/>
        </w:rPr>
      </w:pPr>
      <w:r>
        <w:rPr>
          <w:rFonts w:hint="eastAsia" w:ascii="宋体" w:hAnsi="宋体" w:eastAsia="宋体" w:cs="宋体"/>
          <w:color w:val="auto"/>
          <w:spacing w:val="8"/>
          <w:sz w:val="24"/>
          <w:szCs w:val="24"/>
          <w:highlight w:val="none"/>
        </w:rPr>
        <w:t>（7）其他建议。</w:t>
      </w:r>
    </w:p>
    <w:p w14:paraId="777DCB06">
      <w:pPr>
        <w:spacing w:line="400" w:lineRule="exact"/>
        <w:ind w:firstLine="431"/>
        <w:rPr>
          <w:rFonts w:hint="eastAsia" w:ascii="宋体" w:hAnsi="宋体" w:eastAsia="宋体" w:cs="宋体"/>
          <w:b/>
          <w:bCs/>
          <w:color w:val="auto"/>
          <w:sz w:val="24"/>
          <w:szCs w:val="24"/>
          <w:highlight w:val="none"/>
        </w:rPr>
      </w:pPr>
    </w:p>
    <w:p w14:paraId="5BCD3B70">
      <w:pPr>
        <w:widowControl/>
        <w:numPr>
          <w:ilvl w:val="-1"/>
          <w:numId w:val="0"/>
        </w:numPr>
        <w:spacing w:line="240" w:lineRule="auto"/>
        <w:ind w:firstLine="0" w:firstLineChars="0"/>
        <w:jc w:val="left"/>
        <w:outlineLvl w:val="9"/>
        <w:rPr>
          <w:rFonts w:hint="eastAsia" w:ascii="宋体" w:hAnsi="宋体" w:eastAsia="宋体" w:cs="宋体"/>
          <w:b/>
          <w:color w:val="auto"/>
          <w:kern w:val="44"/>
          <w:sz w:val="32"/>
          <w:szCs w:val="44"/>
          <w:highlight w:val="none"/>
        </w:rPr>
      </w:pPr>
      <w:r>
        <w:rPr>
          <w:rFonts w:hint="eastAsia" w:ascii="宋体" w:hAnsi="宋体" w:eastAsia="宋体" w:cs="宋体"/>
          <w:b/>
          <w:bCs w:val="0"/>
          <w:color w:val="auto"/>
          <w:kern w:val="44"/>
          <w:sz w:val="32"/>
          <w:szCs w:val="44"/>
          <w:highlight w:val="none"/>
        </w:rPr>
        <w:br w:type="page"/>
      </w:r>
    </w:p>
    <w:p w14:paraId="7EA1716C">
      <w:pPr>
        <w:widowControl/>
        <w:numPr>
          <w:ilvl w:val="0"/>
          <w:numId w:val="4"/>
        </w:numPr>
        <w:spacing w:line="360" w:lineRule="auto"/>
        <w:ind w:firstLine="0" w:firstLineChars="0"/>
        <w:jc w:val="center"/>
        <w:outlineLvl w:val="0"/>
        <w:rPr>
          <w:rFonts w:hint="eastAsia" w:ascii="宋体" w:hAnsi="宋体" w:eastAsia="宋体" w:cs="宋体"/>
          <w:b w:val="0"/>
          <w:bCs/>
          <w:color w:val="auto"/>
          <w:kern w:val="44"/>
          <w:sz w:val="32"/>
          <w:szCs w:val="44"/>
          <w:highlight w:val="none"/>
        </w:rPr>
      </w:pPr>
      <w:r>
        <w:rPr>
          <w:rFonts w:hint="eastAsia" w:ascii="宋体" w:hAnsi="宋体" w:eastAsia="宋体" w:cs="宋体"/>
          <w:b w:val="0"/>
          <w:bCs/>
          <w:color w:val="auto"/>
          <w:kern w:val="44"/>
          <w:sz w:val="32"/>
          <w:szCs w:val="44"/>
          <w:highlight w:val="none"/>
        </w:rPr>
        <w:t>投标文件格式</w:t>
      </w:r>
      <w:bookmarkEnd w:id="91"/>
      <w:bookmarkEnd w:id="92"/>
    </w:p>
    <w:p w14:paraId="670F26FD">
      <w:pPr>
        <w:wordWrap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投标文件封面格式</w:t>
      </w:r>
    </w:p>
    <w:p w14:paraId="5093C016">
      <w:pPr>
        <w:adjustRightInd w:val="0"/>
        <w:snapToGrid w:val="0"/>
        <w:spacing w:line="360" w:lineRule="auto"/>
        <w:ind w:firstLine="480" w:firstLineChars="200"/>
        <w:jc w:val="center"/>
        <w:rPr>
          <w:rFonts w:hint="eastAsia" w:ascii="宋体" w:hAnsi="宋体" w:eastAsia="宋体" w:cs="宋体"/>
          <w:snapToGrid w:val="0"/>
          <w:color w:val="auto"/>
          <w:kern w:val="0"/>
          <w:sz w:val="24"/>
          <w:szCs w:val="24"/>
          <w:highlight w:val="none"/>
        </w:rPr>
      </w:pPr>
    </w:p>
    <w:p w14:paraId="7299E5B6">
      <w:pPr>
        <w:adjustRightInd w:val="0"/>
        <w:snapToGrid w:val="0"/>
        <w:spacing w:line="360" w:lineRule="auto"/>
        <w:ind w:right="42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正本</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副本</w:t>
      </w:r>
    </w:p>
    <w:p w14:paraId="18A7B395">
      <w:pPr>
        <w:wordWrap w:val="0"/>
        <w:spacing w:line="440" w:lineRule="exact"/>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0318E0E0">
      <w:pPr>
        <w:wordWrap w:val="0"/>
        <w:spacing w:line="440" w:lineRule="exact"/>
        <w:ind w:firstLine="240" w:firstLineChars="100"/>
        <w:rPr>
          <w:rFonts w:hint="eastAsia" w:ascii="宋体" w:hAnsi="宋体" w:eastAsia="宋体" w:cs="宋体"/>
          <w:color w:val="auto"/>
          <w:sz w:val="24"/>
          <w:szCs w:val="24"/>
          <w:highlight w:val="none"/>
        </w:rPr>
      </w:pPr>
    </w:p>
    <w:p w14:paraId="641AD19D">
      <w:pPr>
        <w:wordWrap w:val="0"/>
        <w:spacing w:line="440" w:lineRule="exact"/>
        <w:ind w:firstLine="1440" w:firstLineChars="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招标编号</w:t>
      </w:r>
      <w:r>
        <w:rPr>
          <w:rFonts w:hint="eastAsia" w:ascii="宋体" w:hAnsi="宋体" w:eastAsia="宋体" w:cs="宋体"/>
          <w:color w:val="auto"/>
          <w:sz w:val="24"/>
          <w:szCs w:val="24"/>
          <w:highlight w:val="none"/>
        </w:rPr>
        <w:t>：</w:t>
      </w:r>
    </w:p>
    <w:p w14:paraId="09164A1F">
      <w:pPr>
        <w:wordWrap w:val="0"/>
        <w:spacing w:line="440" w:lineRule="exact"/>
        <w:rPr>
          <w:rFonts w:hint="eastAsia" w:ascii="宋体" w:hAnsi="宋体" w:eastAsia="宋体" w:cs="宋体"/>
          <w:color w:val="auto"/>
          <w:sz w:val="24"/>
          <w:szCs w:val="24"/>
          <w:highlight w:val="none"/>
        </w:rPr>
      </w:pPr>
    </w:p>
    <w:p w14:paraId="443FC73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14:paraId="6D3FA9EF">
      <w:pPr>
        <w:adjustRightInd w:val="0"/>
        <w:snapToGrid w:val="0"/>
        <w:spacing w:line="360" w:lineRule="auto"/>
        <w:jc w:val="center"/>
        <w:rPr>
          <w:rFonts w:hint="eastAsia" w:ascii="宋体" w:hAnsi="宋体" w:eastAsia="宋体" w:cs="宋体"/>
          <w:color w:val="auto"/>
          <w:sz w:val="24"/>
          <w:szCs w:val="24"/>
          <w:highlight w:val="none"/>
        </w:rPr>
      </w:pPr>
    </w:p>
    <w:p w14:paraId="2867F6FE">
      <w:pPr>
        <w:adjustRightInd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 标 文 件</w:t>
      </w:r>
    </w:p>
    <w:p w14:paraId="5562275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B39A3F2">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541D8233">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4BFE652A">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5331700A">
      <w:pPr>
        <w:adjustRightInd w:val="0"/>
        <w:snapToGrid w:val="0"/>
        <w:spacing w:line="360" w:lineRule="auto"/>
        <w:rPr>
          <w:rFonts w:hint="eastAsia" w:ascii="宋体" w:hAnsi="宋体" w:eastAsia="宋体" w:cs="宋体"/>
          <w:color w:val="auto"/>
          <w:sz w:val="24"/>
          <w:szCs w:val="24"/>
          <w:highlight w:val="none"/>
        </w:rPr>
      </w:pPr>
    </w:p>
    <w:p w14:paraId="49F3BF3F">
      <w:pPr>
        <w:adjustRightInd w:val="0"/>
        <w:snapToGrid w:val="0"/>
        <w:spacing w:line="360" w:lineRule="auto"/>
        <w:ind w:firstLine="480" w:firstLineChars="200"/>
        <w:jc w:val="center"/>
        <w:rPr>
          <w:rFonts w:hint="eastAsia" w:ascii="宋体" w:hAnsi="宋体" w:eastAsia="宋体" w:cs="宋体"/>
          <w:color w:val="auto"/>
          <w:sz w:val="24"/>
          <w:szCs w:val="24"/>
          <w:highlight w:val="none"/>
        </w:rPr>
      </w:pPr>
    </w:p>
    <w:p w14:paraId="1E739681">
      <w:pPr>
        <w:adjustRightInd w:val="0"/>
        <w:snapToGrid w:val="0"/>
        <w:spacing w:line="360" w:lineRule="auto"/>
        <w:ind w:firstLine="480" w:firstLineChars="200"/>
        <w:jc w:val="center"/>
        <w:rPr>
          <w:rFonts w:hint="eastAsia" w:ascii="宋体" w:hAnsi="宋体" w:eastAsia="宋体" w:cs="宋体"/>
          <w:color w:val="auto"/>
          <w:sz w:val="24"/>
          <w:szCs w:val="24"/>
          <w:highlight w:val="none"/>
        </w:rPr>
      </w:pPr>
    </w:p>
    <w:p w14:paraId="2DE6081A">
      <w:pPr>
        <w:adjustRightInd w:val="0"/>
        <w:snapToGrid w:val="0"/>
        <w:spacing w:line="360" w:lineRule="auto"/>
        <w:ind w:firstLine="480" w:firstLineChars="200"/>
        <w:jc w:val="center"/>
        <w:rPr>
          <w:rFonts w:hint="eastAsia" w:ascii="宋体" w:hAnsi="宋体" w:eastAsia="宋体" w:cs="宋体"/>
          <w:color w:val="auto"/>
          <w:sz w:val="24"/>
          <w:szCs w:val="24"/>
          <w:highlight w:val="none"/>
        </w:rPr>
      </w:pPr>
    </w:p>
    <w:p w14:paraId="7E832056">
      <w:pPr>
        <w:adjustRightInd w:val="0"/>
        <w:snapToGrid w:val="0"/>
        <w:spacing w:line="360" w:lineRule="auto"/>
        <w:ind w:firstLine="1200" w:firstLineChars="5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（盖单位公章）</w:t>
      </w:r>
    </w:p>
    <w:p w14:paraId="106E07F4">
      <w:pPr>
        <w:adjustRightInd w:val="0"/>
        <w:snapToGrid w:val="0"/>
        <w:spacing w:line="360" w:lineRule="auto"/>
        <w:ind w:firstLine="1200" w:firstLineChars="5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或其委托代理人：</w:t>
      </w:r>
      <w:r>
        <w:rPr>
          <w:rFonts w:hint="eastAsia" w:ascii="宋体" w:hAnsi="宋体" w:eastAsia="宋体" w:cs="宋体"/>
          <w:snapToGrid w:val="0"/>
          <w:color w:val="auto"/>
          <w:kern w:val="0"/>
          <w:sz w:val="24"/>
          <w:szCs w:val="24"/>
          <w:highlight w:val="none"/>
          <w:u w:val="single"/>
        </w:rPr>
        <w:t xml:space="preserve">   （签字或盖章）</w:t>
      </w:r>
    </w:p>
    <w:p w14:paraId="64143696">
      <w:pPr>
        <w:adjustRightInd w:val="0"/>
        <w:snapToGrid w:val="0"/>
        <w:spacing w:line="360" w:lineRule="auto"/>
        <w:ind w:firstLine="1200" w:firstLineChars="5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日  期：</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8D3C0ED">
      <w:pPr>
        <w:adjustRightInd w:val="0"/>
        <w:snapToGrid w:val="0"/>
        <w:spacing w:line="360" w:lineRule="auto"/>
        <w:jc w:val="center"/>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bookmarkStart w:id="93" w:name="_Toc83886040"/>
      <w:bookmarkStart w:id="94" w:name="_Toc17952"/>
      <w:r>
        <w:rPr>
          <w:rFonts w:hint="eastAsia" w:ascii="宋体" w:hAnsi="宋体" w:eastAsia="宋体" w:cs="宋体"/>
          <w:b/>
          <w:bCs/>
          <w:color w:val="auto"/>
          <w:sz w:val="24"/>
          <w:szCs w:val="24"/>
          <w:highlight w:val="none"/>
        </w:rPr>
        <w:t>资格审查索引</w:t>
      </w:r>
      <w:bookmarkEnd w:id="93"/>
      <w:bookmarkEnd w:id="94"/>
    </w:p>
    <w:tbl>
      <w:tblPr>
        <w:tblStyle w:val="24"/>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592C6C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031CA90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470" w:type="dxa"/>
            <w:noWrap w:val="0"/>
            <w:vAlign w:val="center"/>
          </w:tcPr>
          <w:p w14:paraId="0986A9A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审查内容</w:t>
            </w:r>
          </w:p>
        </w:tc>
        <w:tc>
          <w:tcPr>
            <w:tcW w:w="1276" w:type="dxa"/>
            <w:noWrap w:val="0"/>
            <w:vAlign w:val="center"/>
          </w:tcPr>
          <w:p w14:paraId="010917D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w:t>
            </w:r>
          </w:p>
        </w:tc>
      </w:tr>
      <w:tr w14:paraId="50E672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DB646F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center"/>
          </w:tcPr>
          <w:p w14:paraId="6AC9A53F">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276A371C">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r>
      <w:tr w14:paraId="00E5E5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4277C2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top"/>
          </w:tcPr>
          <w:p w14:paraId="07EC183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0C20C7A8">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p>
        </w:tc>
      </w:tr>
      <w:tr w14:paraId="5A12C4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16B90F2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top"/>
          </w:tcPr>
          <w:p w14:paraId="289921C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46B1E36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p>
        </w:tc>
      </w:tr>
      <w:tr w14:paraId="260871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56AE363">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top"/>
          </w:tcPr>
          <w:p w14:paraId="422BA7D3">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2633C2B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p>
        </w:tc>
      </w:tr>
      <w:tr w14:paraId="6B7C60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76007BDC">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top"/>
          </w:tcPr>
          <w:p w14:paraId="4283370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4DC104FC">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p>
        </w:tc>
      </w:tr>
    </w:tbl>
    <w:p w14:paraId="60C1E218">
      <w:pPr>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注：投标人根据招标公告“</w:t>
      </w:r>
      <w:r>
        <w:rPr>
          <w:rFonts w:hint="eastAsia" w:ascii="宋体" w:hAnsi="宋体" w:eastAsia="宋体" w:cs="宋体"/>
          <w:color w:val="auto"/>
          <w:sz w:val="24"/>
          <w:szCs w:val="24"/>
          <w:highlight w:val="none"/>
          <w:lang w:val="zh-CN"/>
        </w:rPr>
        <w:t>投标人资格条件</w:t>
      </w:r>
      <w:r>
        <w:rPr>
          <w:rFonts w:hint="eastAsia" w:ascii="宋体" w:hAnsi="宋体" w:eastAsia="宋体" w:cs="宋体"/>
          <w:color w:val="auto"/>
          <w:sz w:val="24"/>
          <w:szCs w:val="24"/>
          <w:highlight w:val="none"/>
        </w:rPr>
        <w:t>”条款一一对应填写本表。</w:t>
      </w:r>
    </w:p>
    <w:p w14:paraId="088CF782">
      <w:pPr>
        <w:spacing w:line="420" w:lineRule="exact"/>
        <w:jc w:val="center"/>
        <w:rPr>
          <w:rFonts w:hint="eastAsia" w:ascii="宋体" w:hAnsi="宋体" w:eastAsia="宋体" w:cs="宋体"/>
          <w:color w:val="auto"/>
          <w:sz w:val="24"/>
          <w:szCs w:val="24"/>
          <w:highlight w:val="none"/>
        </w:rPr>
      </w:pPr>
    </w:p>
    <w:p w14:paraId="09D52659">
      <w:pPr>
        <w:spacing w:line="360" w:lineRule="auto"/>
        <w:jc w:val="center"/>
        <w:outlineLvl w:val="1"/>
        <w:rPr>
          <w:rFonts w:hint="eastAsia" w:ascii="宋体" w:hAnsi="宋体" w:eastAsia="宋体" w:cs="宋体"/>
          <w:b/>
          <w:bCs/>
          <w:color w:val="auto"/>
          <w:sz w:val="24"/>
          <w:szCs w:val="24"/>
          <w:highlight w:val="none"/>
        </w:rPr>
      </w:pPr>
      <w:bookmarkStart w:id="95" w:name="_Toc28418"/>
      <w:bookmarkStart w:id="96" w:name="_Toc83886041"/>
      <w:r>
        <w:rPr>
          <w:rFonts w:hint="eastAsia" w:ascii="宋体" w:hAnsi="宋体" w:eastAsia="宋体" w:cs="宋体"/>
          <w:b/>
          <w:bCs/>
          <w:color w:val="auto"/>
          <w:sz w:val="24"/>
          <w:szCs w:val="24"/>
          <w:highlight w:val="none"/>
        </w:rPr>
        <w:t>符合性审查索引</w:t>
      </w:r>
      <w:bookmarkEnd w:id="95"/>
      <w:bookmarkEnd w:id="96"/>
    </w:p>
    <w:tbl>
      <w:tblPr>
        <w:tblStyle w:val="24"/>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3052D8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4699D16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470" w:type="dxa"/>
            <w:noWrap w:val="0"/>
            <w:vAlign w:val="center"/>
          </w:tcPr>
          <w:p w14:paraId="21E16866">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审查内容</w:t>
            </w:r>
          </w:p>
        </w:tc>
        <w:tc>
          <w:tcPr>
            <w:tcW w:w="1276" w:type="dxa"/>
            <w:noWrap w:val="0"/>
            <w:vAlign w:val="center"/>
          </w:tcPr>
          <w:p w14:paraId="3C2403C4">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w:t>
            </w:r>
          </w:p>
        </w:tc>
      </w:tr>
      <w:tr w14:paraId="705531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54FA5C3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center"/>
          </w:tcPr>
          <w:p w14:paraId="400E8F2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5423DBDF">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r>
      <w:tr w14:paraId="30FB0A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1542DB9E">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top"/>
          </w:tcPr>
          <w:p w14:paraId="751739B0">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727A47B9">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p>
        </w:tc>
      </w:tr>
      <w:tr w14:paraId="27FE0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699F4F7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top"/>
          </w:tcPr>
          <w:p w14:paraId="3DDF0D2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28863727">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p>
        </w:tc>
      </w:tr>
      <w:tr w14:paraId="1740D9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4819DE16">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top"/>
          </w:tcPr>
          <w:p w14:paraId="7433B0D3">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6A36356D">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p>
        </w:tc>
      </w:tr>
      <w:tr w14:paraId="6C428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noWrap w:val="0"/>
            <w:vAlign w:val="center"/>
          </w:tcPr>
          <w:p w14:paraId="09543E9A">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5470" w:type="dxa"/>
            <w:noWrap w:val="0"/>
            <w:vAlign w:val="top"/>
          </w:tcPr>
          <w:p w14:paraId="73625C75">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p>
        </w:tc>
        <w:tc>
          <w:tcPr>
            <w:tcW w:w="1276" w:type="dxa"/>
            <w:noWrap w:val="0"/>
            <w:vAlign w:val="center"/>
          </w:tcPr>
          <w:p w14:paraId="0C786079">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b/>
                <w:color w:val="auto"/>
                <w:sz w:val="24"/>
                <w:szCs w:val="24"/>
                <w:highlight w:val="none"/>
              </w:rPr>
            </w:pPr>
          </w:p>
        </w:tc>
      </w:tr>
    </w:tbl>
    <w:p w14:paraId="313ECE82">
      <w:pPr>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注：投标人根据评标方法和评价标准的“初步评审”中“符合性审查”条款一一对应填写本表。</w:t>
      </w:r>
    </w:p>
    <w:p w14:paraId="2D79583C">
      <w:pPr>
        <w:spacing w:line="360" w:lineRule="auto"/>
        <w:jc w:val="center"/>
        <w:outlineLvl w:val="1"/>
        <w:rPr>
          <w:rFonts w:hint="eastAsia" w:ascii="宋体" w:hAnsi="宋体" w:eastAsia="宋体" w:cs="宋体"/>
          <w:b/>
          <w:bCs/>
          <w:color w:val="auto"/>
          <w:sz w:val="24"/>
          <w:szCs w:val="24"/>
          <w:highlight w:val="none"/>
        </w:rPr>
      </w:pPr>
      <w:bookmarkStart w:id="97" w:name="_Toc20861"/>
      <w:bookmarkStart w:id="98" w:name="_Toc83886042"/>
      <w:r>
        <w:rPr>
          <w:rFonts w:hint="eastAsia" w:ascii="宋体" w:hAnsi="宋体" w:eastAsia="宋体" w:cs="宋体"/>
          <w:b/>
          <w:bCs/>
          <w:color w:val="auto"/>
          <w:sz w:val="24"/>
          <w:szCs w:val="24"/>
          <w:highlight w:val="none"/>
        </w:rPr>
        <w:t>详细评审索引</w:t>
      </w:r>
      <w:bookmarkEnd w:id="97"/>
      <w:bookmarkEnd w:id="98"/>
    </w:p>
    <w:tbl>
      <w:tblPr>
        <w:tblStyle w:val="24"/>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22263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07C385D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356" w:type="dxa"/>
            <w:noWrap w:val="0"/>
            <w:vAlign w:val="center"/>
          </w:tcPr>
          <w:p w14:paraId="0903230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评分/评审细则</w:t>
            </w:r>
          </w:p>
        </w:tc>
        <w:tc>
          <w:tcPr>
            <w:tcW w:w="1276" w:type="dxa"/>
            <w:noWrap w:val="0"/>
            <w:vAlign w:val="center"/>
          </w:tcPr>
          <w:p w14:paraId="0A5A126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w:t>
            </w:r>
          </w:p>
        </w:tc>
      </w:tr>
      <w:tr w14:paraId="02AB67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520D39C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356" w:type="dxa"/>
            <w:noWrap w:val="0"/>
            <w:vAlign w:val="center"/>
          </w:tcPr>
          <w:p w14:paraId="2631AFF6">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noWrap w:val="0"/>
            <w:vAlign w:val="center"/>
          </w:tcPr>
          <w:p w14:paraId="23AEF23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24"/>
                <w:szCs w:val="24"/>
                <w:highlight w:val="none"/>
              </w:rPr>
            </w:pPr>
          </w:p>
        </w:tc>
      </w:tr>
      <w:tr w14:paraId="2DFC97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noWrap w:val="0"/>
            <w:vAlign w:val="center"/>
          </w:tcPr>
          <w:p w14:paraId="7CA1F07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356" w:type="dxa"/>
            <w:noWrap w:val="0"/>
            <w:vAlign w:val="center"/>
          </w:tcPr>
          <w:p w14:paraId="1BE5060F">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noWrap w:val="0"/>
            <w:vAlign w:val="center"/>
          </w:tcPr>
          <w:p w14:paraId="697C42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24"/>
                <w:szCs w:val="24"/>
                <w:highlight w:val="none"/>
              </w:rPr>
            </w:pPr>
          </w:p>
        </w:tc>
      </w:tr>
      <w:tr w14:paraId="355266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18B0FC3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356" w:type="dxa"/>
            <w:noWrap w:val="0"/>
            <w:vAlign w:val="center"/>
          </w:tcPr>
          <w:p w14:paraId="4EC5D9B0">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noWrap w:val="0"/>
            <w:vAlign w:val="center"/>
          </w:tcPr>
          <w:p w14:paraId="2CA3E2E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24"/>
                <w:szCs w:val="24"/>
                <w:highlight w:val="none"/>
              </w:rPr>
            </w:pPr>
          </w:p>
        </w:tc>
      </w:tr>
      <w:tr w14:paraId="0CF6BD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68ACB3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356" w:type="dxa"/>
            <w:noWrap w:val="0"/>
            <w:vAlign w:val="center"/>
          </w:tcPr>
          <w:p w14:paraId="7FBE2D58">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 w:val="24"/>
                <w:szCs w:val="24"/>
                <w:highlight w:val="none"/>
              </w:rPr>
            </w:pPr>
          </w:p>
        </w:tc>
        <w:tc>
          <w:tcPr>
            <w:tcW w:w="1276" w:type="dxa"/>
            <w:noWrap w:val="0"/>
            <w:vAlign w:val="center"/>
          </w:tcPr>
          <w:p w14:paraId="7D4C483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24"/>
                <w:szCs w:val="24"/>
                <w:highlight w:val="none"/>
              </w:rPr>
            </w:pPr>
          </w:p>
        </w:tc>
      </w:tr>
      <w:tr w14:paraId="382C8F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noWrap w:val="0"/>
            <w:vAlign w:val="center"/>
          </w:tcPr>
          <w:p w14:paraId="56AECAB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356" w:type="dxa"/>
            <w:noWrap w:val="0"/>
            <w:vAlign w:val="center"/>
          </w:tcPr>
          <w:p w14:paraId="34CB4672">
            <w:pPr>
              <w:keepNext w:val="0"/>
              <w:keepLines w:val="0"/>
              <w:suppressLineNumbers w:val="0"/>
              <w:adjustRightInd w:val="0"/>
              <w:snapToGrid w:val="0"/>
              <w:spacing w:before="0" w:beforeAutospacing="0" w:after="0" w:afterAutospacing="0"/>
              <w:ind w:left="-3" w:leftChars="-1" w:right="0" w:firstLine="2"/>
              <w:rPr>
                <w:rFonts w:hint="eastAsia" w:ascii="宋体" w:hAnsi="宋体" w:eastAsia="宋体" w:cs="宋体"/>
                <w:b/>
                <w:color w:val="auto"/>
                <w:sz w:val="24"/>
                <w:szCs w:val="24"/>
                <w:highlight w:val="none"/>
              </w:rPr>
            </w:pPr>
          </w:p>
        </w:tc>
        <w:tc>
          <w:tcPr>
            <w:tcW w:w="1276" w:type="dxa"/>
            <w:noWrap w:val="0"/>
            <w:vAlign w:val="center"/>
          </w:tcPr>
          <w:p w14:paraId="170B8F0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color w:val="auto"/>
                <w:sz w:val="24"/>
                <w:szCs w:val="24"/>
                <w:highlight w:val="none"/>
              </w:rPr>
            </w:pPr>
          </w:p>
        </w:tc>
      </w:tr>
    </w:tbl>
    <w:p w14:paraId="6B72A0E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注：投标人根据评标方法及评价标准的“详细评审”条款一一对应填写本表。</w:t>
      </w:r>
    </w:p>
    <w:p w14:paraId="261DB9D4">
      <w:pPr>
        <w:pStyle w:val="7"/>
        <w:rPr>
          <w:rFonts w:hint="eastAsia" w:ascii="宋体" w:hAnsi="宋体" w:eastAsia="宋体" w:cs="宋体"/>
          <w:color w:val="auto"/>
          <w:sz w:val="24"/>
          <w:szCs w:val="24"/>
          <w:highlight w:val="none"/>
        </w:rPr>
      </w:pPr>
    </w:p>
    <w:p w14:paraId="34E3217F">
      <w:pPr>
        <w:pStyle w:val="7"/>
        <w:rPr>
          <w:rFonts w:hint="eastAsia" w:ascii="宋体" w:hAnsi="宋体" w:eastAsia="宋体" w:cs="宋体"/>
          <w:color w:val="auto"/>
          <w:sz w:val="24"/>
          <w:szCs w:val="24"/>
          <w:highlight w:val="none"/>
        </w:rPr>
      </w:pPr>
    </w:p>
    <w:p w14:paraId="1B47CE4C">
      <w:pPr>
        <w:rPr>
          <w:rFonts w:hint="eastAsia" w:ascii="宋体" w:hAnsi="宋体" w:eastAsia="宋体" w:cs="宋体"/>
          <w:b/>
          <w:color w:val="auto"/>
          <w:sz w:val="24"/>
          <w:szCs w:val="24"/>
          <w:highlight w:val="none"/>
        </w:rPr>
      </w:pPr>
      <w:bookmarkStart w:id="99" w:name="_Toc83886043"/>
      <w:r>
        <w:rPr>
          <w:rFonts w:hint="eastAsia" w:ascii="宋体" w:hAnsi="宋体" w:eastAsia="宋体" w:cs="宋体"/>
          <w:b/>
          <w:color w:val="auto"/>
          <w:sz w:val="24"/>
          <w:szCs w:val="24"/>
          <w:highlight w:val="none"/>
        </w:rPr>
        <w:br w:type="page"/>
      </w:r>
    </w:p>
    <w:p w14:paraId="32D3A514">
      <w:pPr>
        <w:wordWrap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目录</w:t>
      </w:r>
    </w:p>
    <w:p w14:paraId="7125B5B2">
      <w:pPr>
        <w:wordWrap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资格审查文件部分</w:t>
      </w:r>
    </w:p>
    <w:p w14:paraId="13F90875">
      <w:pPr>
        <w:wordWrap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1.营业执照（或者事业单位法人证书）副本复印件……………………………………（页码）</w:t>
      </w:r>
    </w:p>
    <w:p w14:paraId="4C60D41A">
      <w:pPr>
        <w:wordWrap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2.投标保证金缴存证明……………………………………………………………………（页码）</w:t>
      </w:r>
    </w:p>
    <w:p w14:paraId="02F724A7">
      <w:pPr>
        <w:pStyle w:val="4"/>
        <w:numPr>
          <w:ilvl w:val="0"/>
          <w:numId w:val="0"/>
        </w:numPr>
        <w:jc w:val="both"/>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3.信用中国、中国政府采购网、国家企业信用信息公示系统记录查询网页截图……………………………</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………（页码）</w:t>
      </w:r>
    </w:p>
    <w:p w14:paraId="68162542">
      <w:pPr>
        <w:wordWrap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4.有效期内《安全生产许可证》《危险化学品经营许可证》（复印件加盖公章）</w:t>
      </w:r>
      <w:r>
        <w:rPr>
          <w:rFonts w:hint="eastAsia" w:ascii="宋体" w:hAnsi="宋体" w:eastAsia="宋体" w:cs="宋体"/>
          <w:b w:val="0"/>
          <w:bCs w:val="0"/>
          <w:color w:val="auto"/>
          <w:kern w:val="2"/>
          <w:sz w:val="24"/>
          <w:szCs w:val="24"/>
          <w:highlight w:val="none"/>
          <w:lang w:val="en-US" w:eastAsia="zh-CN" w:bidi="ar-SA"/>
        </w:rPr>
        <w:t>…（页码）</w:t>
      </w:r>
    </w:p>
    <w:p w14:paraId="40E71ECC">
      <w:pPr>
        <w:wordWrap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5.其他资格证明证明材料（复印件加盖公章）</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kern w:val="2"/>
          <w:sz w:val="24"/>
          <w:szCs w:val="24"/>
          <w:highlight w:val="none"/>
          <w:lang w:val="en-US" w:eastAsia="zh-CN" w:bidi="ar-SA"/>
        </w:rPr>
        <w:t>……………………（页码）</w:t>
      </w:r>
    </w:p>
    <w:p w14:paraId="3E966FE5">
      <w:pPr>
        <w:wordWrap w:val="0"/>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商务文件部分</w:t>
      </w:r>
    </w:p>
    <w:p w14:paraId="72EBA630">
      <w:pPr>
        <w:wordWrap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1.投标函……………………………………………………………………………………（页码）</w:t>
      </w:r>
    </w:p>
    <w:p w14:paraId="45678080">
      <w:pPr>
        <w:wordWrap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投标报价明细表</w:t>
      </w:r>
      <w:r>
        <w:rPr>
          <w:rFonts w:hint="eastAsia" w:ascii="宋体" w:hAnsi="宋体" w:eastAsia="宋体" w:cs="宋体"/>
          <w:color w:val="auto"/>
          <w:sz w:val="24"/>
          <w:szCs w:val="24"/>
          <w:highlight w:val="none"/>
        </w:rPr>
        <w:t>…………………………………………………………………………（页码）</w:t>
      </w:r>
    </w:p>
    <w:p w14:paraId="1EFA6684">
      <w:pPr>
        <w:wordWrap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3.法定代表人授权书（格式见附件）……………………………………………………（页码）</w:t>
      </w:r>
    </w:p>
    <w:p w14:paraId="44524EAF">
      <w:pPr>
        <w:wordWrap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商务偏离表（格式见附件）……………………………………………………………（页码）</w:t>
      </w:r>
    </w:p>
    <w:p w14:paraId="7368032B">
      <w:pPr>
        <w:adjustRightInd w:val="0"/>
        <w:snapToGrid w:val="0"/>
        <w:spacing w:line="360" w:lineRule="auto"/>
        <w:jc w:val="both"/>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优惠条件及特殊承诺</w:t>
      </w:r>
      <w:r>
        <w:rPr>
          <w:rFonts w:hint="eastAsia" w:ascii="宋体" w:hAnsi="宋体" w:eastAsia="宋体" w:cs="宋体"/>
          <w:color w:val="auto"/>
          <w:sz w:val="24"/>
          <w:szCs w:val="24"/>
          <w:highlight w:val="none"/>
        </w:rPr>
        <w:t>……………………………………………………………………（页码）</w:t>
      </w:r>
    </w:p>
    <w:p w14:paraId="57822908">
      <w:pPr>
        <w:adjustRightInd w:val="0"/>
        <w:snapToGrid w:val="0"/>
        <w:spacing w:line="360" w:lineRule="auto"/>
        <w:jc w:val="both"/>
        <w:outlineLvl w:val="1"/>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承诺函</w:t>
      </w:r>
      <w:r>
        <w:rPr>
          <w:rFonts w:hint="eastAsia" w:ascii="宋体" w:hAnsi="宋体" w:eastAsia="宋体" w:cs="宋体"/>
          <w:color w:val="auto"/>
          <w:sz w:val="24"/>
          <w:szCs w:val="24"/>
          <w:highlight w:val="none"/>
        </w:rPr>
        <w:t>……………………………………………………………………………………（页码）</w:t>
      </w:r>
    </w:p>
    <w:p w14:paraId="048F8AB1">
      <w:pPr>
        <w:adjustRightInd w:val="0"/>
        <w:snapToGrid w:val="0"/>
        <w:spacing w:line="360" w:lineRule="auto"/>
        <w:jc w:val="both"/>
        <w:outlineLvl w:val="1"/>
        <w:rPr>
          <w:rFonts w:hint="eastAsia" w:ascii="宋体" w:hAnsi="宋体" w:eastAsia="宋体" w:cs="宋体"/>
          <w:b/>
          <w:bCs/>
          <w:color w:val="auto"/>
          <w:sz w:val="24"/>
          <w:szCs w:val="24"/>
          <w:highlight w:val="none"/>
        </w:rPr>
      </w:pPr>
    </w:p>
    <w:p w14:paraId="176A008A">
      <w:pPr>
        <w:wordWrap w:val="0"/>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资信文件部分</w:t>
      </w:r>
    </w:p>
    <w:p w14:paraId="20555BF6">
      <w:pPr>
        <w:numPr>
          <w:ilvl w:val="0"/>
          <w:numId w:val="6"/>
        </w:numPr>
        <w:wordWrap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投标人基本情况表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……………………………………………………………………（页码）</w:t>
      </w:r>
    </w:p>
    <w:p w14:paraId="136ABE55">
      <w:pPr>
        <w:wordWrap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业绩</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表………………………………………………………………………（页码）</w:t>
      </w:r>
    </w:p>
    <w:p w14:paraId="09D710A3">
      <w:pPr>
        <w:wordWrap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3.诚信廉洁承诺函</w:t>
      </w:r>
      <w:r>
        <w:rPr>
          <w:rFonts w:hint="eastAsia" w:ascii="宋体" w:hAnsi="宋体" w:eastAsia="宋体" w:cs="宋体"/>
          <w:color w:val="auto"/>
          <w:sz w:val="24"/>
          <w:szCs w:val="24"/>
          <w:highlight w:val="none"/>
        </w:rPr>
        <w:t>…………………………………………………………………………（页码）</w:t>
      </w:r>
    </w:p>
    <w:p w14:paraId="1386C27E">
      <w:pPr>
        <w:wordWrap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.投标人认为有必要的其他内容等………………………………………………………（页码）</w:t>
      </w:r>
    </w:p>
    <w:p w14:paraId="08B3CBE8">
      <w:pPr>
        <w:numPr>
          <w:ilvl w:val="255"/>
          <w:numId w:val="0"/>
        </w:numPr>
        <w:wordWrap w:val="0"/>
        <w:adjustRightInd w:val="0"/>
        <w:snapToGri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技术文件部分</w:t>
      </w:r>
    </w:p>
    <w:p w14:paraId="22109D12">
      <w:pPr>
        <w:numPr>
          <w:ilvl w:val="255"/>
          <w:numId w:val="0"/>
        </w:numPr>
        <w:wordWrap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1.技术与服务解决方案……………………………………………………………………（页码）</w:t>
      </w:r>
    </w:p>
    <w:p w14:paraId="286EC986">
      <w:pPr>
        <w:numPr>
          <w:ilvl w:val="255"/>
          <w:numId w:val="0"/>
        </w:numPr>
        <w:wordWrap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技术偏离表</w:t>
      </w:r>
      <w:r>
        <w:rPr>
          <w:rFonts w:hint="eastAsia" w:ascii="宋体" w:hAnsi="宋体" w:eastAsia="宋体" w:cs="宋体"/>
          <w:color w:val="auto"/>
          <w:sz w:val="24"/>
          <w:szCs w:val="24"/>
          <w:highlight w:val="none"/>
        </w:rPr>
        <w:t>………………………………………………………………………………（页码）</w:t>
      </w:r>
    </w:p>
    <w:p w14:paraId="4EE35178">
      <w:pPr>
        <w:numPr>
          <w:ilvl w:val="255"/>
          <w:numId w:val="0"/>
        </w:numPr>
        <w:wordWrap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技术优惠条件及特殊承诺</w:t>
      </w:r>
      <w:r>
        <w:rPr>
          <w:rFonts w:hint="eastAsia" w:ascii="宋体" w:hAnsi="宋体" w:eastAsia="宋体" w:cs="宋体"/>
          <w:color w:val="auto"/>
          <w:sz w:val="24"/>
          <w:szCs w:val="24"/>
          <w:highlight w:val="none"/>
        </w:rPr>
        <w:t>………………………………………………………………（页码）</w:t>
      </w:r>
    </w:p>
    <w:p w14:paraId="2D87FA86">
      <w:pPr>
        <w:numPr>
          <w:ilvl w:val="255"/>
          <w:numId w:val="0"/>
        </w:numPr>
        <w:wordWrap w:val="0"/>
        <w:adjustRightInd w:val="0"/>
        <w:snapToGrid w:val="0"/>
        <w:spacing w:line="400" w:lineRule="exact"/>
        <w:jc w:val="left"/>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投标人认为需要提供的其他文件和说明………………………………………………（页码）</w:t>
      </w:r>
    </w:p>
    <w:p w14:paraId="7D7B621E">
      <w:pPr>
        <w:adjustRightInd w:val="0"/>
        <w:snapToGrid w:val="0"/>
        <w:spacing w:line="360" w:lineRule="auto"/>
        <w:jc w:val="center"/>
        <w:outlineLvl w:val="1"/>
        <w:rPr>
          <w:rFonts w:hint="eastAsia" w:ascii="宋体" w:hAnsi="宋体" w:eastAsia="宋体" w:cs="宋体"/>
          <w:b/>
          <w:bCs/>
          <w:color w:val="auto"/>
          <w:sz w:val="28"/>
          <w:szCs w:val="28"/>
          <w:highlight w:val="none"/>
        </w:rPr>
      </w:pPr>
    </w:p>
    <w:p w14:paraId="3384E7F7">
      <w:pPr>
        <w:pStyle w:val="23"/>
        <w:ind w:left="0" w:leftChars="0" w:firstLine="0" w:firstLineChars="0"/>
        <w:rPr>
          <w:rFonts w:hint="eastAsia" w:ascii="宋体" w:hAnsi="宋体" w:eastAsia="宋体" w:cs="宋体"/>
          <w:b/>
          <w:bCs/>
          <w:color w:val="auto"/>
          <w:sz w:val="28"/>
          <w:szCs w:val="28"/>
          <w:highlight w:val="none"/>
        </w:rPr>
      </w:pPr>
    </w:p>
    <w:p w14:paraId="01C2901C">
      <w:pPr>
        <w:rPr>
          <w:rFonts w:hint="eastAsia" w:ascii="宋体" w:hAnsi="宋体" w:eastAsia="宋体" w:cs="宋体"/>
          <w:color w:val="auto"/>
          <w:highlight w:val="none"/>
        </w:rPr>
      </w:pPr>
    </w:p>
    <w:p w14:paraId="5D97A3FA">
      <w:pPr>
        <w:rPr>
          <w:rFonts w:hint="eastAsia" w:ascii="宋体" w:hAnsi="宋体" w:eastAsia="宋体" w:cs="宋体"/>
          <w:color w:val="auto"/>
          <w:highlight w:val="none"/>
        </w:rPr>
      </w:pPr>
    </w:p>
    <w:p w14:paraId="043FDD10">
      <w:pPr>
        <w:adjustRightInd w:val="0"/>
        <w:snapToGrid w:val="0"/>
        <w:spacing w:line="360" w:lineRule="auto"/>
        <w:jc w:val="center"/>
        <w:outlineLvl w:val="1"/>
        <w:rPr>
          <w:rFonts w:hint="eastAsia" w:ascii="宋体" w:hAnsi="宋体" w:eastAsia="宋体" w:cs="宋体"/>
          <w:snapToGrid w:val="0"/>
          <w:color w:val="auto"/>
          <w:kern w:val="0"/>
          <w:szCs w:val="21"/>
          <w:highlight w:val="none"/>
          <w:lang w:eastAsia="zh-CN"/>
        </w:rPr>
      </w:pPr>
      <w:r>
        <w:rPr>
          <w:rFonts w:hint="eastAsia" w:ascii="宋体" w:hAnsi="宋体" w:eastAsia="宋体" w:cs="宋体"/>
          <w:b/>
          <w:bCs/>
          <w:color w:val="auto"/>
          <w:sz w:val="28"/>
          <w:szCs w:val="28"/>
          <w:highlight w:val="none"/>
        </w:rPr>
        <w:t>第一部分、资格文件</w:t>
      </w:r>
      <w:bookmarkEnd w:id="99"/>
    </w:p>
    <w:p w14:paraId="4AA2A479">
      <w:pPr>
        <w:pStyle w:val="4"/>
        <w:ind w:firstLine="0" w:firstLineChars="0"/>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32"/>
          <w:szCs w:val="32"/>
          <w:highlight w:val="none"/>
          <w:lang w:val="en-US" w:eastAsia="zh-CN"/>
        </w:rPr>
        <w:t xml:space="preserve">  </w:t>
      </w:r>
      <w:r>
        <w:rPr>
          <w:rFonts w:hint="eastAsia" w:ascii="宋体" w:hAnsi="宋体" w:eastAsia="宋体" w:cs="宋体"/>
          <w:bCs w:val="0"/>
          <w:color w:val="auto"/>
          <w:sz w:val="24"/>
          <w:szCs w:val="24"/>
          <w:highlight w:val="none"/>
          <w:lang w:val="en-US" w:eastAsia="zh-CN"/>
        </w:rPr>
        <w:t xml:space="preserve"> </w:t>
      </w:r>
      <w:r>
        <w:rPr>
          <w:rFonts w:hint="eastAsia" w:ascii="宋体" w:hAnsi="宋体" w:eastAsia="宋体" w:cs="宋体"/>
          <w:bCs w:val="0"/>
          <w:color w:val="auto"/>
          <w:sz w:val="24"/>
          <w:szCs w:val="24"/>
          <w:highlight w:val="none"/>
        </w:rPr>
        <w:t>一、营业执照、事业单位法人证书、社会团体法人登记证书或其他组织登记证明文件副本（复印件加盖公章）</w:t>
      </w:r>
    </w:p>
    <w:p w14:paraId="48A68F2F">
      <w:pPr>
        <w:rPr>
          <w:rFonts w:hint="eastAsia" w:ascii="宋体" w:hAnsi="宋体" w:eastAsia="宋体" w:cs="宋体"/>
          <w:bCs w:val="0"/>
          <w:color w:val="auto"/>
          <w:sz w:val="24"/>
          <w:szCs w:val="24"/>
          <w:highlight w:val="none"/>
        </w:rPr>
      </w:pPr>
    </w:p>
    <w:p w14:paraId="31ECEBA6">
      <w:pPr>
        <w:rPr>
          <w:rFonts w:hint="eastAsia" w:ascii="宋体" w:hAnsi="宋体" w:eastAsia="宋体" w:cs="宋体"/>
          <w:bCs w:val="0"/>
          <w:color w:val="auto"/>
          <w:sz w:val="24"/>
          <w:szCs w:val="24"/>
          <w:highlight w:val="none"/>
          <w:lang w:val="en-US" w:eastAsia="zh-CN"/>
        </w:rPr>
      </w:pPr>
    </w:p>
    <w:p w14:paraId="09CF2AA6">
      <w:pPr>
        <w:pStyle w:val="4"/>
        <w:numPr>
          <w:ilvl w:val="-1"/>
          <w:numId w:val="0"/>
        </w:numPr>
        <w:ind w:firstLine="482" w:firstLineChars="200"/>
        <w:jc w:val="left"/>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二、</w:t>
      </w:r>
      <w:r>
        <w:rPr>
          <w:rFonts w:hint="eastAsia" w:ascii="宋体" w:hAnsi="宋体" w:eastAsia="宋体" w:cs="宋体"/>
          <w:bCs w:val="0"/>
          <w:color w:val="auto"/>
          <w:sz w:val="24"/>
          <w:szCs w:val="24"/>
          <w:highlight w:val="none"/>
        </w:rPr>
        <w:t>投标保证金缴存证明</w:t>
      </w:r>
    </w:p>
    <w:p w14:paraId="046790DE">
      <w:pPr>
        <w:numPr>
          <w:ilvl w:val="0"/>
          <w:numId w:val="0"/>
        </w:numPr>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（附投标保证金缴存复印件）</w:t>
      </w:r>
    </w:p>
    <w:p w14:paraId="776266E3">
      <w:pPr>
        <w:pStyle w:val="20"/>
        <w:rPr>
          <w:rFonts w:hint="eastAsia" w:ascii="宋体" w:hAnsi="宋体" w:eastAsia="宋体" w:cs="宋体"/>
          <w:color w:val="auto"/>
          <w:highlight w:val="none"/>
        </w:rPr>
      </w:pPr>
    </w:p>
    <w:p w14:paraId="3FF4BAA5">
      <w:pPr>
        <w:numPr>
          <w:ilvl w:val="0"/>
          <w:numId w:val="0"/>
        </w:numPr>
        <w:ind w:firstLine="482" w:firstLineChars="200"/>
        <w:jc w:val="left"/>
        <w:rPr>
          <w:rFonts w:hint="eastAsia" w:ascii="宋体" w:hAnsi="宋体" w:eastAsia="宋体" w:cs="宋体"/>
          <w:b/>
          <w:bCs/>
          <w:color w:val="auto"/>
          <w:sz w:val="24"/>
          <w:szCs w:val="24"/>
          <w:highlight w:val="none"/>
          <w:lang w:val="en-US" w:eastAsia="zh-CN"/>
        </w:rPr>
      </w:pPr>
    </w:p>
    <w:p w14:paraId="3EAFE00E">
      <w:pPr>
        <w:pStyle w:val="4"/>
        <w:numPr>
          <w:ilvl w:val="-1"/>
          <w:numId w:val="0"/>
        </w:numPr>
        <w:ind w:firstLine="482" w:firstLineChars="200"/>
        <w:jc w:val="left"/>
        <w:rPr>
          <w:rFonts w:hint="eastAsia" w:ascii="宋体" w:hAnsi="宋体" w:eastAsia="宋体" w:cs="宋体"/>
          <w:bCs w:val="0"/>
          <w:color w:val="auto"/>
          <w:sz w:val="32"/>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需提供本项目招标公告</w:t>
      </w:r>
      <w:r>
        <w:rPr>
          <w:rFonts w:hint="eastAsia" w:ascii="宋体" w:hAnsi="宋体" w:eastAsia="宋体" w:cs="宋体"/>
          <w:b/>
          <w:bCs/>
          <w:color w:val="auto"/>
          <w:sz w:val="24"/>
          <w:szCs w:val="24"/>
          <w:highlight w:val="none"/>
          <w:u w:val="single"/>
        </w:rPr>
        <w:t>发布之日</w:t>
      </w:r>
      <w:r>
        <w:rPr>
          <w:rFonts w:hint="eastAsia" w:ascii="宋体" w:hAnsi="宋体" w:eastAsia="宋体" w:cs="宋体"/>
          <w:b/>
          <w:bCs/>
          <w:color w:val="auto"/>
          <w:sz w:val="24"/>
          <w:szCs w:val="24"/>
          <w:highlight w:val="none"/>
        </w:rPr>
        <w:t>起“</w:t>
      </w:r>
      <w:r>
        <w:rPr>
          <w:rFonts w:hint="eastAsia" w:ascii="宋体" w:hAnsi="宋体" w:eastAsia="宋体" w:cs="宋体"/>
          <w:bCs w:val="0"/>
          <w:color w:val="auto"/>
          <w:sz w:val="24"/>
          <w:szCs w:val="24"/>
          <w:highlight w:val="none"/>
        </w:rPr>
        <w:t>信用中国</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（www.creditchina.gov.cn）记录查询网页截图</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rPr>
        <w:t>中国政府采购网（www.ccgp.gov.cn）记录查询网页截图</w:t>
      </w:r>
      <w:r>
        <w:rPr>
          <w:rFonts w:hint="eastAsia" w:ascii="宋体" w:hAnsi="宋体" w:eastAsia="宋体" w:cs="宋体"/>
          <w:bCs w:val="0"/>
          <w:color w:val="auto"/>
          <w:sz w:val="24"/>
          <w:szCs w:val="24"/>
          <w:highlight w:val="none"/>
          <w:lang w:eastAsia="zh-CN"/>
        </w:rPr>
        <w:t>、国家企业信用信息公示系统”股权结构查询。（查询结果网页截图）（</w:t>
      </w:r>
      <w:r>
        <w:rPr>
          <w:rFonts w:hint="eastAsia" w:ascii="宋体" w:hAnsi="宋体" w:eastAsia="宋体" w:cs="宋体"/>
          <w:bCs w:val="0"/>
          <w:color w:val="auto"/>
          <w:sz w:val="24"/>
          <w:szCs w:val="24"/>
          <w:highlight w:val="none"/>
          <w:lang w:val="en-US" w:eastAsia="zh-CN"/>
        </w:rPr>
        <w:t>根据招标文件要求提供</w:t>
      </w:r>
      <w:r>
        <w:rPr>
          <w:rFonts w:hint="eastAsia" w:ascii="宋体" w:hAnsi="宋体" w:eastAsia="宋体" w:cs="宋体"/>
          <w:bCs w:val="0"/>
          <w:color w:val="auto"/>
          <w:sz w:val="24"/>
          <w:szCs w:val="24"/>
          <w:highlight w:val="none"/>
          <w:lang w:eastAsia="zh-CN"/>
        </w:rPr>
        <w:t>）</w:t>
      </w:r>
    </w:p>
    <w:p w14:paraId="28EC87C0">
      <w:pPr>
        <w:spacing w:line="360" w:lineRule="auto"/>
        <w:ind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注：若投标人未按实际情况提供或提供虚假信息，经评标委员会讨论后，应作废标处理。</w:t>
      </w:r>
      <w:r>
        <w:rPr>
          <w:rFonts w:hint="eastAsia" w:ascii="宋体" w:hAnsi="宋体" w:eastAsia="宋体" w:cs="宋体"/>
          <w:color w:val="auto"/>
          <w:sz w:val="24"/>
          <w:szCs w:val="24"/>
          <w:highlight w:val="none"/>
        </w:rPr>
        <w:t>）</w:t>
      </w:r>
    </w:p>
    <w:p w14:paraId="0DFC4A44">
      <w:pPr>
        <w:pStyle w:val="20"/>
        <w:rPr>
          <w:rFonts w:hint="eastAsia" w:ascii="宋体" w:hAnsi="宋体" w:eastAsia="宋体" w:cs="宋体"/>
          <w:b/>
          <w:color w:val="auto"/>
          <w:spacing w:val="0"/>
          <w:sz w:val="32"/>
          <w:szCs w:val="20"/>
          <w:highlight w:val="none"/>
        </w:rPr>
      </w:pPr>
    </w:p>
    <w:p w14:paraId="078E6F9E">
      <w:pPr>
        <w:rPr>
          <w:rFonts w:hint="eastAsia" w:ascii="宋体" w:hAnsi="宋体" w:eastAsia="宋体" w:cs="宋体"/>
          <w:color w:val="auto"/>
          <w:highlight w:val="none"/>
        </w:rPr>
      </w:pPr>
    </w:p>
    <w:p w14:paraId="73189C47">
      <w:pPr>
        <w:pStyle w:val="4"/>
        <w:numPr>
          <w:ilvl w:val="0"/>
          <w:numId w:val="7"/>
        </w:numPr>
        <w:ind w:firstLine="482" w:firstLineChars="200"/>
        <w:jc w:val="left"/>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投标人若为生产厂家须具备以下有效证书或证明：</w:t>
      </w:r>
    </w:p>
    <w:p w14:paraId="2EFA068B">
      <w:pPr>
        <w:pStyle w:val="4"/>
        <w:numPr>
          <w:ilvl w:val="0"/>
          <w:numId w:val="0"/>
        </w:numPr>
        <w:ind w:firstLine="480" w:firstLineChars="200"/>
        <w:jc w:val="left"/>
        <w:rPr>
          <w:rFonts w:hint="eastAsia" w:ascii="宋体" w:hAnsi="宋体" w:eastAsia="宋体" w:cs="宋体"/>
          <w:b w:val="0"/>
          <w:bCs w:val="0"/>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①有效期内《安全生产许可证》</w:t>
      </w:r>
    </w:p>
    <w:p w14:paraId="0FA2617A">
      <w:pPr>
        <w:pStyle w:val="4"/>
        <w:numPr>
          <w:ilvl w:val="0"/>
          <w:numId w:val="0"/>
        </w:numPr>
        <w:ind w:firstLine="480" w:firstLineChars="200"/>
        <w:jc w:val="left"/>
        <w:rPr>
          <w:rFonts w:hint="eastAsia" w:ascii="宋体" w:hAnsi="宋体" w:eastAsia="宋体" w:cs="宋体"/>
          <w:b w:val="0"/>
          <w:bCs w:val="0"/>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②有效期内《道路运输经营许可证》或与具备有效期内《道路运输经营许可证》第三方签订运输协议；</w:t>
      </w:r>
    </w:p>
    <w:p w14:paraId="22317271">
      <w:pPr>
        <w:pStyle w:val="4"/>
        <w:numPr>
          <w:ilvl w:val="0"/>
          <w:numId w:val="0"/>
        </w:numPr>
        <w:jc w:val="left"/>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投标人若为经销商须具备以下有效证书或证明：</w:t>
      </w:r>
    </w:p>
    <w:p w14:paraId="1CB1200A">
      <w:pPr>
        <w:pStyle w:val="4"/>
        <w:numPr>
          <w:ilvl w:val="0"/>
          <w:numId w:val="0"/>
        </w:numPr>
        <w:ind w:firstLine="480" w:firstLineChars="200"/>
        <w:jc w:val="left"/>
        <w:rPr>
          <w:rFonts w:hint="eastAsia" w:ascii="宋体" w:hAnsi="宋体" w:eastAsia="宋体" w:cs="宋体"/>
          <w:b w:val="0"/>
          <w:bCs w:val="0"/>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①有效期内《危险化学品经营许可证》</w:t>
      </w:r>
    </w:p>
    <w:p w14:paraId="2AA3E9E3">
      <w:pPr>
        <w:pStyle w:val="4"/>
        <w:numPr>
          <w:ilvl w:val="0"/>
          <w:numId w:val="0"/>
        </w:numPr>
        <w:ind w:firstLine="480" w:firstLineChars="200"/>
        <w:jc w:val="left"/>
        <w:rPr>
          <w:rFonts w:hint="eastAsia" w:ascii="宋体" w:hAnsi="宋体" w:eastAsia="宋体" w:cs="宋体"/>
          <w:b w:val="0"/>
          <w:bCs w:val="0"/>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②有效期内《道路运输经营许可证》或与具备有效期内《道路运输经营许可证》第三方签订运输协议</w:t>
      </w:r>
    </w:p>
    <w:p w14:paraId="6A547C79">
      <w:pPr>
        <w:pStyle w:val="4"/>
        <w:numPr>
          <w:ilvl w:val="0"/>
          <w:numId w:val="0"/>
        </w:numPr>
        <w:ind w:firstLine="480" w:firstLineChars="200"/>
        <w:jc w:val="left"/>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b w:val="0"/>
          <w:bCs w:val="0"/>
          <w:snapToGrid w:val="0"/>
          <w:color w:val="auto"/>
          <w:kern w:val="0"/>
          <w:sz w:val="24"/>
          <w:szCs w:val="24"/>
          <w:highlight w:val="none"/>
          <w:lang w:val="zh-CN" w:eastAsia="zh-CN" w:bidi="ar-SA"/>
        </w:rPr>
        <w:t>③投标产品生产厂家出具的授权证明并同时提供该生产厂家的有效期内《安全生产许可证》；</w:t>
      </w:r>
    </w:p>
    <w:p w14:paraId="3C7294DC">
      <w:pPr>
        <w:pStyle w:val="4"/>
        <w:numPr>
          <w:ilvl w:val="0"/>
          <w:numId w:val="0"/>
        </w:numPr>
        <w:jc w:val="left"/>
        <w:rPr>
          <w:rFonts w:hint="eastAsia" w:ascii="宋体" w:hAnsi="宋体" w:eastAsia="宋体" w:cs="宋体"/>
          <w:bCs w:val="0"/>
          <w:color w:val="auto"/>
          <w:kern w:val="2"/>
          <w:sz w:val="24"/>
          <w:szCs w:val="24"/>
          <w:highlight w:val="none"/>
        </w:rPr>
      </w:pPr>
      <w:r>
        <w:rPr>
          <w:rFonts w:hint="eastAsia" w:ascii="宋体" w:hAnsi="宋体" w:eastAsia="宋体" w:cs="宋体"/>
          <w:snapToGrid w:val="0"/>
          <w:color w:val="auto"/>
          <w:kern w:val="0"/>
          <w:sz w:val="24"/>
          <w:szCs w:val="24"/>
          <w:highlight w:val="none"/>
          <w:lang w:val="zh-CN" w:eastAsia="zh-CN" w:bidi="ar-SA"/>
        </w:rPr>
        <w:t>（以上许可证（除道路运输经营许可证外）许可范围均需包含片碱（氢氧化钠），以上资料需加盖公章）</w:t>
      </w:r>
    </w:p>
    <w:p w14:paraId="6AB74057">
      <w:pPr>
        <w:numPr>
          <w:ilvl w:val="-1"/>
          <w:numId w:val="0"/>
        </w:numPr>
        <w:rPr>
          <w:rFonts w:hint="eastAsia" w:ascii="宋体" w:hAnsi="宋体" w:eastAsia="宋体" w:cs="宋体"/>
          <w:color w:val="auto"/>
          <w:highlight w:val="none"/>
        </w:rPr>
      </w:pPr>
    </w:p>
    <w:p w14:paraId="322F95E3">
      <w:pPr>
        <w:pStyle w:val="4"/>
        <w:numPr>
          <w:ilvl w:val="-1"/>
          <w:numId w:val="0"/>
        </w:numPr>
        <w:ind w:firstLine="482" w:firstLineChars="200"/>
        <w:jc w:val="left"/>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lang w:val="en-US" w:eastAsia="zh-CN"/>
        </w:rPr>
        <w:t>五、</w:t>
      </w:r>
      <w:r>
        <w:rPr>
          <w:rFonts w:hint="eastAsia" w:ascii="宋体" w:hAnsi="宋体" w:eastAsia="宋体" w:cs="宋体"/>
          <w:color w:val="auto"/>
          <w:sz w:val="24"/>
          <w:szCs w:val="24"/>
          <w:highlight w:val="none"/>
          <w:lang w:val="en-US" w:eastAsia="zh-CN"/>
        </w:rPr>
        <w:t>其他资格证明证明材料（复印件加盖公章）</w:t>
      </w:r>
    </w:p>
    <w:p w14:paraId="3342110B">
      <w:pPr>
        <w:rPr>
          <w:rFonts w:hint="eastAsia" w:ascii="宋体" w:hAnsi="宋体" w:eastAsia="宋体" w:cs="宋体"/>
          <w:b/>
          <w:color w:val="auto"/>
          <w:kern w:val="0"/>
          <w:sz w:val="32"/>
          <w:szCs w:val="32"/>
          <w:highlight w:val="none"/>
        </w:rPr>
      </w:pPr>
    </w:p>
    <w:p w14:paraId="165B8A96">
      <w:pPr>
        <w:wordWrap w:val="0"/>
        <w:spacing w:line="360" w:lineRule="auto"/>
        <w:jc w:val="center"/>
        <w:outlineLvl w:val="0"/>
        <w:rPr>
          <w:rFonts w:hint="eastAsia" w:ascii="宋体" w:hAnsi="宋体" w:eastAsia="宋体" w:cs="宋体"/>
          <w:b/>
          <w:bCs/>
          <w:color w:val="auto"/>
          <w:sz w:val="24"/>
          <w:szCs w:val="24"/>
          <w:highlight w:val="none"/>
        </w:rPr>
      </w:pPr>
      <w:bookmarkStart w:id="100" w:name="_Toc18885"/>
      <w:bookmarkStart w:id="101" w:name="_Toc83886044"/>
      <w:r>
        <w:rPr>
          <w:rFonts w:hint="eastAsia" w:ascii="宋体" w:hAnsi="宋体" w:eastAsia="宋体" w:cs="宋体"/>
          <w:b/>
          <w:bCs/>
          <w:color w:val="auto"/>
          <w:sz w:val="24"/>
          <w:szCs w:val="24"/>
          <w:highlight w:val="none"/>
        </w:rPr>
        <w:t>第二部分、商务文件</w:t>
      </w:r>
      <w:bookmarkEnd w:id="100"/>
      <w:bookmarkEnd w:id="101"/>
    </w:p>
    <w:p w14:paraId="625C976A">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 标 函</w:t>
      </w:r>
    </w:p>
    <w:p w14:paraId="5107F7D4">
      <w:pPr>
        <w:tabs>
          <w:tab w:val="left" w:pos="2111"/>
        </w:tabs>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u w:val="single"/>
        </w:rPr>
        <w:t>（招标人名称</w:t>
      </w:r>
      <w:r>
        <w:rPr>
          <w:rFonts w:hint="eastAsia" w:ascii="宋体" w:hAnsi="宋体" w:eastAsia="宋体" w:cs="宋体"/>
          <w:color w:val="auto"/>
          <w:spacing w:val="-23"/>
          <w:sz w:val="24"/>
          <w:szCs w:val="24"/>
          <w:highlight w:val="none"/>
          <w:u w:val="single"/>
        </w:rPr>
        <w:t>）</w:t>
      </w:r>
      <w:r>
        <w:rPr>
          <w:rFonts w:hint="eastAsia" w:ascii="宋体" w:hAnsi="宋体" w:eastAsia="宋体" w:cs="宋体"/>
          <w:color w:val="auto"/>
          <w:spacing w:val="-23"/>
          <w:sz w:val="24"/>
          <w:szCs w:val="24"/>
          <w:highlight w:val="none"/>
        </w:rPr>
        <w:t>：</w:t>
      </w:r>
    </w:p>
    <w:p w14:paraId="1C988AAD">
      <w:pPr>
        <w:adjustRightInd w:val="0"/>
        <w:snapToGrid w:val="0"/>
        <w:spacing w:line="360" w:lineRule="auto"/>
        <w:ind w:left="182" w:leftChars="57"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1．我方仔细研究了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招标文件（包括招标补充文件）的全部内容，愿意以人民币（大写）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元（¥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）的投标总价</w:t>
      </w:r>
      <w:r>
        <w:rPr>
          <w:rFonts w:hint="eastAsia" w:ascii="宋体" w:hAnsi="宋体" w:eastAsia="宋体" w:cs="宋体"/>
          <w:color w:val="auto"/>
          <w:sz w:val="24"/>
          <w:szCs w:val="24"/>
          <w:highlight w:val="none"/>
          <w:lang w:val="en-US" w:eastAsia="zh-CN"/>
        </w:rPr>
        <w:t>（含税）（税率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承担本项目的相关工作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5EE179A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2．我方承诺在投标有效期内不撤销投标文件（从投标截止日起90日历天）</w:t>
      </w:r>
      <w:r>
        <w:rPr>
          <w:rFonts w:hint="eastAsia" w:ascii="宋体" w:hAnsi="宋体" w:eastAsia="宋体" w:cs="宋体"/>
          <w:b/>
          <w:bCs/>
          <w:color w:val="auto"/>
          <w:sz w:val="24"/>
          <w:szCs w:val="24"/>
          <w:highlight w:val="none"/>
          <w:lang w:val="en-US" w:eastAsia="zh-CN"/>
        </w:rPr>
        <w:t>注：按项目实际情况予以修改投标有效期</w:t>
      </w:r>
      <w:r>
        <w:rPr>
          <w:rFonts w:hint="eastAsia" w:ascii="宋体" w:hAnsi="宋体" w:eastAsia="宋体" w:cs="宋体"/>
          <w:color w:val="auto"/>
          <w:sz w:val="24"/>
          <w:szCs w:val="24"/>
          <w:highlight w:val="none"/>
        </w:rPr>
        <w:t>。</w:t>
      </w:r>
    </w:p>
    <w:p w14:paraId="1BFF5CB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3．我方已详细审查全部招标文件、包括修改文件(如需要修改)以及全部参考资料和有关附件。我们完全理解并同意放弃对这方面有不明及误解的权利。</w:t>
      </w:r>
    </w:p>
    <w:p w14:paraId="0EE4A63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我方同意按照招标人要求提供与其招标有关的一切数据和资料，完全理解招标人不一定接受最低价的投标或收到的任何投标。</w:t>
      </w:r>
    </w:p>
    <w:p w14:paraId="4FC56D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5．如我方中标：</w:t>
      </w:r>
    </w:p>
    <w:p w14:paraId="78896060">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（1）我方承诺收到中标通知书后，在中标通知书规定的期限内与你方签订合同。</w:t>
      </w:r>
    </w:p>
    <w:p w14:paraId="090C47D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（2）我方承诺按照招标文件规定向你方递交履约担保。</w:t>
      </w:r>
    </w:p>
    <w:p w14:paraId="2D770A7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（3）我方承诺在合同约定的期限内完成所有工作内容。</w:t>
      </w:r>
    </w:p>
    <w:p w14:paraId="6F46CA6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．我方在此声明，所递交的投标文件及有关资料内容完整、真实和准确。</w:t>
      </w:r>
    </w:p>
    <w:p w14:paraId="0266CCC7">
      <w:pPr>
        <w:spacing w:line="440" w:lineRule="exact"/>
        <w:ind w:firstLine="504" w:firstLineChars="200"/>
        <w:contextualSpacing/>
        <w:rPr>
          <w:rFonts w:hint="eastAsia" w:ascii="宋体" w:hAnsi="宋体" w:eastAsia="宋体" w:cs="宋体"/>
          <w:color w:val="auto"/>
          <w:spacing w:val="6"/>
          <w:position w:val="1"/>
          <w:sz w:val="24"/>
          <w:szCs w:val="24"/>
          <w:highlight w:val="none"/>
        </w:rPr>
      </w:pPr>
      <w:r>
        <w:rPr>
          <w:rFonts w:hint="eastAsia" w:ascii="宋体" w:hAnsi="宋体" w:eastAsia="宋体" w:cs="宋体"/>
          <w:color w:val="auto"/>
          <w:spacing w:val="6"/>
          <w:position w:val="1"/>
          <w:sz w:val="24"/>
          <w:szCs w:val="24"/>
          <w:highlight w:val="none"/>
          <w:lang w:val="en-US" w:eastAsia="zh-CN"/>
        </w:rPr>
        <w:t>7.</w:t>
      </w:r>
      <w:r>
        <w:rPr>
          <w:rFonts w:hint="eastAsia" w:ascii="宋体" w:hAnsi="宋体" w:eastAsia="宋体" w:cs="宋体"/>
          <w:color w:val="auto"/>
          <w:spacing w:val="6"/>
          <w:position w:val="1"/>
          <w:sz w:val="24"/>
          <w:szCs w:val="24"/>
          <w:highlight w:val="none"/>
        </w:rPr>
        <w:t>如我方在响应过程中，发生招标文件规定的招标人可以不退还投标保证金的情形的，我方同意招标人不退还我方缴纳的全部投标保证金。</w:t>
      </w:r>
    </w:p>
    <w:p w14:paraId="0200193D">
      <w:pPr>
        <w:spacing w:line="440" w:lineRule="exact"/>
        <w:ind w:firstLine="504"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position w:val="1"/>
          <w:sz w:val="24"/>
          <w:szCs w:val="24"/>
          <w:highlight w:val="none"/>
          <w:lang w:val="en-US" w:eastAsia="zh-CN"/>
        </w:rPr>
        <w:t>8</w:t>
      </w:r>
      <w:r>
        <w:rPr>
          <w:rFonts w:hint="eastAsia" w:ascii="宋体" w:hAnsi="宋体" w:eastAsia="宋体" w:cs="宋体"/>
          <w:color w:val="auto"/>
          <w:spacing w:val="6"/>
          <w:position w:val="1"/>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（其他补充说明）。</w:t>
      </w:r>
    </w:p>
    <w:p w14:paraId="0EE6A7CE">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（盖单位公章）</w:t>
      </w:r>
    </w:p>
    <w:p w14:paraId="5D65F3D2">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sz w:val="24"/>
          <w:szCs w:val="24"/>
          <w:highlight w:val="none"/>
        </w:rPr>
        <w:t>或其委托代理人：（签字或盖章）</w:t>
      </w:r>
    </w:p>
    <w:p w14:paraId="1E4B7F34">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position w:val="15"/>
          <w:sz w:val="24"/>
          <w:szCs w:val="24"/>
          <w:highlight w:val="none"/>
          <w:lang w:eastAsia="zh-CN"/>
        </w:rPr>
        <w:t>联系地址</w:t>
      </w:r>
      <w:r>
        <w:rPr>
          <w:rFonts w:hint="eastAsia" w:ascii="宋体" w:hAnsi="宋体" w:eastAsia="宋体" w:cs="宋体"/>
          <w:color w:val="auto"/>
          <w:position w:val="15"/>
          <w:sz w:val="24"/>
          <w:szCs w:val="24"/>
          <w:highlight w:val="none"/>
        </w:rPr>
        <w:t xml:space="preserve"> </w:t>
      </w:r>
      <w:r>
        <w:rPr>
          <w:rFonts w:hint="eastAsia" w:ascii="宋体" w:hAnsi="宋体" w:eastAsia="宋体" w:cs="宋体"/>
          <w:color w:val="auto"/>
          <w:spacing w:val="-69"/>
          <w:position w:val="15"/>
          <w:sz w:val="24"/>
          <w:szCs w:val="24"/>
          <w:highlight w:val="none"/>
        </w:rPr>
        <w:t>：</w:t>
      </w:r>
    </w:p>
    <w:p w14:paraId="378631D8">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联系人</w:t>
      </w:r>
      <w:r>
        <w:rPr>
          <w:rFonts w:hint="eastAsia" w:ascii="宋体" w:hAnsi="宋体" w:eastAsia="宋体" w:cs="宋体"/>
          <w:color w:val="auto"/>
          <w:spacing w:val="4"/>
          <w:sz w:val="24"/>
          <w:szCs w:val="24"/>
          <w:highlight w:val="none"/>
        </w:rPr>
        <w:t>：</w:t>
      </w:r>
    </w:p>
    <w:p w14:paraId="6ECD37C2">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r>
        <w:rPr>
          <w:rFonts w:hint="eastAsia" w:ascii="宋体" w:hAnsi="宋体" w:eastAsia="宋体" w:cs="宋体"/>
          <w:color w:val="auto"/>
          <w:spacing w:val="-94"/>
          <w:sz w:val="24"/>
          <w:szCs w:val="24"/>
          <w:highlight w:val="none"/>
        </w:rPr>
        <w:t>：</w:t>
      </w:r>
    </w:p>
    <w:p w14:paraId="5DE0E27F">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开</w:t>
      </w:r>
      <w:r>
        <w:rPr>
          <w:rFonts w:hint="eastAsia" w:ascii="宋体" w:hAnsi="宋体" w:eastAsia="宋体" w:cs="宋体"/>
          <w:color w:val="auto"/>
          <w:spacing w:val="5"/>
          <w:sz w:val="24"/>
          <w:szCs w:val="24"/>
          <w:highlight w:val="none"/>
        </w:rPr>
        <w:t>户银行</w:t>
      </w:r>
      <w:r>
        <w:rPr>
          <w:rFonts w:hint="eastAsia" w:ascii="宋体" w:hAnsi="宋体" w:eastAsia="宋体" w:cs="宋体"/>
          <w:color w:val="auto"/>
          <w:spacing w:val="7"/>
          <w:sz w:val="24"/>
          <w:szCs w:val="24"/>
          <w:highlight w:val="none"/>
        </w:rPr>
        <w:t>：</w:t>
      </w:r>
    </w:p>
    <w:p w14:paraId="58072FCD">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w:t>
      </w:r>
      <w:r>
        <w:rPr>
          <w:rFonts w:hint="eastAsia" w:ascii="宋体" w:hAnsi="宋体" w:eastAsia="宋体" w:cs="宋体"/>
          <w:color w:val="auto"/>
          <w:spacing w:val="-72"/>
          <w:sz w:val="24"/>
          <w:szCs w:val="24"/>
          <w:highlight w:val="none"/>
        </w:rPr>
        <w:t>：</w:t>
      </w:r>
    </w:p>
    <w:p w14:paraId="616377BB">
      <w:pPr>
        <w:spacing w:line="44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w:t>
      </w: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年   月   日</w:t>
      </w:r>
    </w:p>
    <w:p w14:paraId="53C8174F">
      <w:pPr>
        <w:spacing w:line="440" w:lineRule="exact"/>
        <w:rPr>
          <w:rFonts w:hint="eastAsia" w:ascii="宋体" w:hAnsi="宋体" w:eastAsia="宋体" w:cs="宋体"/>
          <w:color w:val="auto"/>
          <w:sz w:val="24"/>
          <w:szCs w:val="24"/>
          <w:highlight w:val="none"/>
        </w:rPr>
        <w:sectPr>
          <w:pgSz w:w="11906" w:h="16838"/>
          <w:pgMar w:top="1440" w:right="1080" w:bottom="1440" w:left="1080" w:header="0" w:footer="714" w:gutter="0"/>
          <w:pgNumType w:fmt="decimal"/>
          <w:cols w:space="720" w:num="1"/>
          <w:docGrid w:linePitch="286" w:charSpace="0"/>
        </w:sectPr>
      </w:pPr>
    </w:p>
    <w:p w14:paraId="4C1A9027">
      <w:pPr>
        <w:pStyle w:val="4"/>
        <w:jc w:val="center"/>
        <w:rPr>
          <w:rFonts w:hint="eastAsia" w:ascii="宋体" w:hAnsi="宋体" w:eastAsia="宋体" w:cs="宋体"/>
          <w:bCs w:val="0"/>
          <w:color w:val="auto"/>
          <w:sz w:val="24"/>
          <w:szCs w:val="24"/>
          <w:highlight w:val="none"/>
          <w:lang w:eastAsia="zh-CN"/>
        </w:rPr>
      </w:pPr>
      <w:r>
        <w:rPr>
          <w:rFonts w:hint="eastAsia" w:ascii="宋体" w:hAnsi="宋体" w:eastAsia="宋体" w:cs="宋体"/>
          <w:bCs w:val="0"/>
          <w:color w:val="auto"/>
          <w:sz w:val="24"/>
          <w:szCs w:val="24"/>
          <w:highlight w:val="none"/>
        </w:rPr>
        <w:t>二、</w:t>
      </w:r>
      <w:r>
        <w:rPr>
          <w:rFonts w:hint="eastAsia" w:ascii="宋体" w:hAnsi="宋体" w:eastAsia="宋体" w:cs="宋体"/>
          <w:bCs w:val="0"/>
          <w:color w:val="auto"/>
          <w:sz w:val="24"/>
          <w:szCs w:val="24"/>
          <w:highlight w:val="none"/>
          <w:lang w:eastAsia="zh-CN"/>
        </w:rPr>
        <w:t>投标报价明细表</w:t>
      </w:r>
    </w:p>
    <w:p w14:paraId="5F47DD5E">
      <w:pPr>
        <w:tabs>
          <w:tab w:val="left" w:pos="2580"/>
          <w:tab w:val="left" w:pos="5940"/>
        </w:tabs>
        <w:autoSpaceDE w:val="0"/>
        <w:autoSpaceDN w:val="0"/>
        <w:adjustRightInd w:val="0"/>
        <w:snapToGrid w:val="0"/>
        <w:spacing w:line="300" w:lineRule="auto"/>
        <w:ind w:right="-20"/>
        <w:rPr>
          <w:rFonts w:hint="eastAsia" w:ascii="宋体" w:hAnsi="宋体" w:eastAsia="宋体" w:cs="宋体"/>
          <w:color w:val="auto"/>
          <w:kern w:val="0"/>
          <w:sz w:val="24"/>
          <w:szCs w:val="24"/>
          <w:highlight w:val="none"/>
        </w:rPr>
      </w:pPr>
    </w:p>
    <w:p w14:paraId="74A56A71">
      <w:pPr>
        <w:tabs>
          <w:tab w:val="left" w:pos="2580"/>
          <w:tab w:val="left" w:pos="5940"/>
        </w:tabs>
        <w:autoSpaceDE w:val="0"/>
        <w:autoSpaceDN w:val="0"/>
        <w:adjustRightInd w:val="0"/>
        <w:snapToGrid w:val="0"/>
        <w:spacing w:line="300" w:lineRule="auto"/>
        <w:ind w:right="-2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eastAsia="zh-CN"/>
        </w:rPr>
        <w:t>招标编号</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2193"/>
        <w:gridCol w:w="2481"/>
        <w:gridCol w:w="1609"/>
        <w:gridCol w:w="1383"/>
        <w:gridCol w:w="818"/>
      </w:tblGrid>
      <w:tr w14:paraId="6D22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475" w:type="dxa"/>
            <w:noWrap w:val="0"/>
            <w:vAlign w:val="center"/>
          </w:tcPr>
          <w:p w14:paraId="57372D6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名称</w:t>
            </w:r>
          </w:p>
        </w:tc>
        <w:tc>
          <w:tcPr>
            <w:tcW w:w="2193" w:type="dxa"/>
            <w:noWrap w:val="0"/>
            <w:vAlign w:val="center"/>
          </w:tcPr>
          <w:p w14:paraId="209190C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技术参数</w:t>
            </w:r>
          </w:p>
        </w:tc>
        <w:tc>
          <w:tcPr>
            <w:tcW w:w="2481" w:type="dxa"/>
            <w:noWrap w:val="0"/>
            <w:vAlign w:val="center"/>
          </w:tcPr>
          <w:p w14:paraId="50EDDF8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24"/>
                <w:szCs w:val="24"/>
                <w:lang w:val="en-US" w:eastAsia="zh-CN"/>
              </w:rPr>
              <w:t>采购人</w:t>
            </w:r>
          </w:p>
        </w:tc>
        <w:tc>
          <w:tcPr>
            <w:tcW w:w="1609" w:type="dxa"/>
            <w:noWrap w:val="0"/>
            <w:vAlign w:val="center"/>
          </w:tcPr>
          <w:p w14:paraId="1B6CBF0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预估数量（吨）</w:t>
            </w:r>
          </w:p>
        </w:tc>
        <w:tc>
          <w:tcPr>
            <w:tcW w:w="1383" w:type="dxa"/>
            <w:noWrap w:val="0"/>
            <w:vAlign w:val="center"/>
          </w:tcPr>
          <w:p w14:paraId="77FAE184">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含税单价</w:t>
            </w:r>
          </w:p>
          <w:p w14:paraId="4DFD7071">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（元/吨）</w:t>
            </w:r>
          </w:p>
        </w:tc>
        <w:tc>
          <w:tcPr>
            <w:tcW w:w="818" w:type="dxa"/>
            <w:noWrap w:val="0"/>
            <w:vAlign w:val="center"/>
          </w:tcPr>
          <w:p w14:paraId="694403D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含税小计</w:t>
            </w:r>
          </w:p>
        </w:tc>
      </w:tr>
      <w:tr w14:paraId="79AE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vMerge w:val="restart"/>
            <w:noWrap w:val="0"/>
            <w:vAlign w:val="center"/>
          </w:tcPr>
          <w:p w14:paraId="723FBA6B">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片碱（固体</w:t>
            </w:r>
            <w:r>
              <w:rPr>
                <w:rFonts w:hint="eastAsia" w:ascii="宋体" w:hAnsi="宋体" w:eastAsia="宋体" w:cs="宋体"/>
                <w:bCs/>
                <w:color w:val="000000"/>
                <w:sz w:val="24"/>
                <w:szCs w:val="24"/>
                <w:lang w:val="en-US" w:eastAsia="zh-CN"/>
              </w:rPr>
              <w:t>工业用氢氧化钠</w:t>
            </w:r>
            <w:r>
              <w:rPr>
                <w:rFonts w:hint="eastAsia" w:ascii="宋体" w:hAnsi="宋体" w:eastAsia="宋体" w:cs="宋体"/>
                <w:color w:val="000000"/>
                <w:sz w:val="24"/>
                <w:szCs w:val="24"/>
                <w:lang w:val="en-US" w:eastAsia="zh-CN"/>
              </w:rPr>
              <w:t>）</w:t>
            </w:r>
          </w:p>
        </w:tc>
        <w:tc>
          <w:tcPr>
            <w:tcW w:w="2193" w:type="dxa"/>
            <w:vMerge w:val="restart"/>
            <w:noWrap w:val="0"/>
            <w:vAlign w:val="center"/>
          </w:tcPr>
          <w:p w14:paraId="2F7645C0">
            <w:pPr>
              <w:spacing w:line="360" w:lineRule="auto"/>
              <w:jc w:val="center"/>
              <w:rPr>
                <w:rFonts w:hint="eastAsia" w:ascii="宋体" w:hAnsi="宋体" w:eastAsia="宋体" w:cs="宋体"/>
                <w:color w:val="000000"/>
                <w:sz w:val="24"/>
                <w:szCs w:val="24"/>
              </w:rPr>
            </w:pPr>
            <w:r>
              <w:rPr>
                <w:rFonts w:hint="eastAsia" w:ascii="宋体" w:hAnsi="宋体" w:eastAsia="宋体" w:cs="宋体"/>
                <w:i w:val="0"/>
                <w:iCs w:val="0"/>
                <w:color w:val="000000"/>
                <w:kern w:val="2"/>
                <w:sz w:val="24"/>
                <w:szCs w:val="24"/>
                <w:u w:val="none"/>
                <w:lang w:val="en-US" w:eastAsia="zh-CN" w:bidi="ar-SA"/>
              </w:rPr>
              <w:t>25KG/袋，氢氧化钠</w:t>
            </w:r>
            <w:r>
              <w:rPr>
                <w:rFonts w:hint="eastAsia" w:ascii="宋体" w:hAnsi="宋体" w:eastAsia="宋体" w:cs="宋体"/>
                <w:i w:val="0"/>
                <w:iCs w:val="0"/>
                <w:color w:val="000000"/>
                <w:kern w:val="2"/>
                <w:sz w:val="24"/>
                <w:szCs w:val="24"/>
                <w:highlight w:val="none"/>
                <w:u w:val="none"/>
                <w:lang w:val="en-US" w:eastAsia="zh-CN" w:bidi="ar-SA"/>
              </w:rPr>
              <w:t>含量</w:t>
            </w:r>
            <w:r>
              <w:rPr>
                <w:rFonts w:hint="eastAsia" w:ascii="宋体" w:hAnsi="宋体" w:eastAsia="宋体" w:cs="宋体"/>
                <w:i w:val="0"/>
                <w:iCs w:val="0"/>
                <w:color w:val="000000"/>
                <w:kern w:val="2"/>
                <w:sz w:val="24"/>
                <w:szCs w:val="24"/>
                <w:u w:val="none"/>
                <w:lang w:val="en-US" w:eastAsia="zh-CN" w:bidi="ar-SA"/>
              </w:rPr>
              <w:t>≥98%，</w:t>
            </w:r>
            <w:r>
              <w:rPr>
                <w:rFonts w:hint="eastAsia" w:ascii="宋体" w:hAnsi="宋体" w:eastAsia="宋体" w:cs="宋体"/>
                <w:color w:val="000000"/>
                <w:sz w:val="24"/>
                <w:szCs w:val="24"/>
              </w:rPr>
              <w:t>质量</w:t>
            </w:r>
            <w:r>
              <w:rPr>
                <w:rFonts w:hint="eastAsia" w:ascii="宋体" w:hAnsi="宋体" w:eastAsia="宋体" w:cs="宋体"/>
                <w:color w:val="000000"/>
                <w:sz w:val="24"/>
                <w:szCs w:val="24"/>
                <w:lang w:val="en-US" w:eastAsia="zh-CN"/>
              </w:rPr>
              <w:t>符合</w:t>
            </w:r>
            <w:r>
              <w:rPr>
                <w:rFonts w:hint="eastAsia" w:ascii="宋体" w:hAnsi="宋体" w:eastAsia="宋体" w:cs="宋体"/>
                <w:color w:val="000000"/>
                <w:sz w:val="24"/>
                <w:szCs w:val="24"/>
              </w:rPr>
              <w:t>国家标准GB/T209-2018</w:t>
            </w:r>
            <w:r>
              <w:rPr>
                <w:rFonts w:hint="eastAsia" w:ascii="宋体" w:hAnsi="宋体" w:eastAsia="宋体" w:cs="宋体"/>
                <w:i w:val="0"/>
                <w:iCs w:val="0"/>
                <w:color w:val="000000"/>
                <w:kern w:val="2"/>
                <w:sz w:val="24"/>
                <w:szCs w:val="24"/>
                <w:u w:val="none"/>
                <w:lang w:val="en-US" w:eastAsia="zh-CN" w:bidi="ar-SA"/>
              </w:rPr>
              <w:t>表1中IS Ⅰ类标准。</w:t>
            </w:r>
          </w:p>
        </w:tc>
        <w:tc>
          <w:tcPr>
            <w:tcW w:w="2481" w:type="dxa"/>
            <w:noWrap w:val="0"/>
            <w:vAlign w:val="center"/>
          </w:tcPr>
          <w:p w14:paraId="549A96A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24"/>
                <w:szCs w:val="24"/>
                <w:lang w:val="en-US" w:eastAsia="zh-CN"/>
              </w:rPr>
              <w:t>杭州市环境集团有限公司-物流分公司</w:t>
            </w:r>
          </w:p>
        </w:tc>
        <w:tc>
          <w:tcPr>
            <w:tcW w:w="1609" w:type="dxa"/>
            <w:noWrap w:val="0"/>
            <w:vAlign w:val="center"/>
          </w:tcPr>
          <w:p w14:paraId="3A0B5BBA">
            <w:pPr>
              <w:spacing w:line="34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4.8</w:t>
            </w:r>
          </w:p>
        </w:tc>
        <w:tc>
          <w:tcPr>
            <w:tcW w:w="1383" w:type="dxa"/>
            <w:noWrap w:val="0"/>
            <w:vAlign w:val="center"/>
          </w:tcPr>
          <w:p w14:paraId="4D0AAA7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c>
          <w:tcPr>
            <w:tcW w:w="818" w:type="dxa"/>
            <w:noWrap w:val="0"/>
            <w:vAlign w:val="center"/>
          </w:tcPr>
          <w:p w14:paraId="1F17FB3D">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r>
      <w:tr w14:paraId="45EB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vMerge w:val="continue"/>
            <w:noWrap w:val="0"/>
            <w:vAlign w:val="center"/>
          </w:tcPr>
          <w:p w14:paraId="69A9098A">
            <w:pPr>
              <w:spacing w:line="360" w:lineRule="auto"/>
              <w:jc w:val="center"/>
              <w:rPr>
                <w:rFonts w:hint="eastAsia" w:ascii="宋体" w:hAnsi="宋体" w:eastAsia="宋体" w:cs="宋体"/>
                <w:color w:val="000000"/>
                <w:sz w:val="24"/>
                <w:szCs w:val="24"/>
                <w:lang w:val="en-US" w:eastAsia="zh-CN"/>
              </w:rPr>
            </w:pPr>
          </w:p>
        </w:tc>
        <w:tc>
          <w:tcPr>
            <w:tcW w:w="2193" w:type="dxa"/>
            <w:vMerge w:val="continue"/>
            <w:noWrap w:val="0"/>
            <w:vAlign w:val="center"/>
          </w:tcPr>
          <w:p w14:paraId="6BD3122C">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2481" w:type="dxa"/>
            <w:noWrap w:val="0"/>
            <w:vAlign w:val="center"/>
          </w:tcPr>
          <w:p w14:paraId="5517CADB">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32"/>
                <w:szCs w:val="32"/>
                <w:lang w:val="en-US" w:eastAsia="zh-CN"/>
              </w:rPr>
            </w:pPr>
            <w:r>
              <w:rPr>
                <w:rFonts w:hint="eastAsia" w:ascii="宋体" w:hAnsi="宋体" w:eastAsia="宋体" w:cs="宋体"/>
                <w:color w:val="000000"/>
                <w:sz w:val="24"/>
                <w:szCs w:val="24"/>
                <w:lang w:val="en-US" w:eastAsia="zh-CN"/>
              </w:rPr>
              <w:t>杭州市环境集团有限公司-资源化利用事业部</w:t>
            </w:r>
          </w:p>
        </w:tc>
        <w:tc>
          <w:tcPr>
            <w:tcW w:w="1609" w:type="dxa"/>
            <w:noWrap w:val="0"/>
            <w:vAlign w:val="center"/>
          </w:tcPr>
          <w:p w14:paraId="05A60C9D">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bCs/>
                <w:color w:val="000000"/>
                <w:sz w:val="24"/>
                <w:szCs w:val="24"/>
                <w:lang w:val="en-US" w:eastAsia="zh-CN"/>
              </w:rPr>
              <w:t>15</w:t>
            </w:r>
          </w:p>
        </w:tc>
        <w:tc>
          <w:tcPr>
            <w:tcW w:w="1383" w:type="dxa"/>
            <w:noWrap w:val="0"/>
            <w:vAlign w:val="center"/>
          </w:tcPr>
          <w:p w14:paraId="2F55E9B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c>
          <w:tcPr>
            <w:tcW w:w="818" w:type="dxa"/>
            <w:noWrap w:val="0"/>
            <w:vAlign w:val="center"/>
          </w:tcPr>
          <w:p w14:paraId="37110F6E">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r>
      <w:tr w14:paraId="6059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vMerge w:val="continue"/>
            <w:noWrap w:val="0"/>
            <w:vAlign w:val="center"/>
          </w:tcPr>
          <w:p w14:paraId="65C8A507">
            <w:pPr>
              <w:spacing w:line="360" w:lineRule="auto"/>
              <w:jc w:val="center"/>
              <w:rPr>
                <w:rFonts w:hint="eastAsia" w:ascii="宋体" w:hAnsi="宋体" w:eastAsia="宋体" w:cs="宋体"/>
                <w:color w:val="000000"/>
                <w:sz w:val="24"/>
                <w:szCs w:val="24"/>
                <w:lang w:val="en-US" w:eastAsia="zh-CN"/>
              </w:rPr>
            </w:pPr>
          </w:p>
        </w:tc>
        <w:tc>
          <w:tcPr>
            <w:tcW w:w="2193" w:type="dxa"/>
            <w:vMerge w:val="continue"/>
            <w:noWrap w:val="0"/>
            <w:vAlign w:val="center"/>
          </w:tcPr>
          <w:p w14:paraId="1297D4A0">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2481" w:type="dxa"/>
            <w:noWrap w:val="0"/>
            <w:vAlign w:val="center"/>
          </w:tcPr>
          <w:p w14:paraId="10DD0BCD">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32"/>
                <w:szCs w:val="32"/>
                <w:lang w:val="en-US" w:eastAsia="zh-CN"/>
              </w:rPr>
            </w:pPr>
            <w:r>
              <w:rPr>
                <w:rFonts w:hint="eastAsia" w:ascii="宋体" w:hAnsi="宋体" w:eastAsia="宋体" w:cs="宋体"/>
                <w:color w:val="000000"/>
                <w:kern w:val="2"/>
                <w:sz w:val="24"/>
                <w:szCs w:val="24"/>
                <w:lang w:val="en-US" w:eastAsia="zh-CN" w:bidi="ar-SA"/>
              </w:rPr>
              <w:t>杭州萧山环城生物能源有限公司</w:t>
            </w:r>
          </w:p>
        </w:tc>
        <w:tc>
          <w:tcPr>
            <w:tcW w:w="1609" w:type="dxa"/>
            <w:noWrap w:val="0"/>
            <w:vAlign w:val="center"/>
          </w:tcPr>
          <w:p w14:paraId="65131BC3">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bCs/>
                <w:color w:val="000000"/>
                <w:sz w:val="24"/>
                <w:szCs w:val="24"/>
                <w:lang w:val="en-US" w:eastAsia="zh-CN"/>
              </w:rPr>
              <w:t>20</w:t>
            </w:r>
          </w:p>
        </w:tc>
        <w:tc>
          <w:tcPr>
            <w:tcW w:w="1383" w:type="dxa"/>
            <w:noWrap w:val="0"/>
            <w:vAlign w:val="center"/>
          </w:tcPr>
          <w:p w14:paraId="255470A5">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c>
          <w:tcPr>
            <w:tcW w:w="818" w:type="dxa"/>
            <w:noWrap w:val="0"/>
            <w:vAlign w:val="center"/>
          </w:tcPr>
          <w:p w14:paraId="11AA9263">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r>
      <w:tr w14:paraId="5C47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5" w:type="dxa"/>
            <w:vMerge w:val="continue"/>
            <w:noWrap w:val="0"/>
            <w:vAlign w:val="center"/>
          </w:tcPr>
          <w:p w14:paraId="589ADC1E">
            <w:pPr>
              <w:spacing w:line="360" w:lineRule="auto"/>
              <w:jc w:val="center"/>
              <w:rPr>
                <w:rFonts w:hint="eastAsia" w:ascii="宋体" w:hAnsi="宋体" w:eastAsia="宋体" w:cs="宋体"/>
                <w:color w:val="000000"/>
                <w:sz w:val="24"/>
                <w:szCs w:val="24"/>
                <w:lang w:val="en-US" w:eastAsia="zh-CN"/>
              </w:rPr>
            </w:pPr>
          </w:p>
        </w:tc>
        <w:tc>
          <w:tcPr>
            <w:tcW w:w="2193" w:type="dxa"/>
            <w:vMerge w:val="continue"/>
            <w:noWrap w:val="0"/>
            <w:vAlign w:val="center"/>
          </w:tcPr>
          <w:p w14:paraId="46D2C994">
            <w:pPr>
              <w:spacing w:line="360" w:lineRule="auto"/>
              <w:jc w:val="center"/>
              <w:rPr>
                <w:rFonts w:hint="eastAsia" w:ascii="宋体" w:hAnsi="宋体" w:eastAsia="宋体" w:cs="宋体"/>
                <w:i w:val="0"/>
                <w:iCs w:val="0"/>
                <w:color w:val="000000"/>
                <w:kern w:val="2"/>
                <w:sz w:val="24"/>
                <w:szCs w:val="24"/>
                <w:u w:val="none"/>
                <w:lang w:val="en-US" w:eastAsia="zh-CN" w:bidi="ar-SA"/>
              </w:rPr>
            </w:pPr>
          </w:p>
        </w:tc>
        <w:tc>
          <w:tcPr>
            <w:tcW w:w="2481" w:type="dxa"/>
            <w:noWrap w:val="0"/>
            <w:vAlign w:val="center"/>
          </w:tcPr>
          <w:p w14:paraId="2749B5D6">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sz w:val="32"/>
                <w:szCs w:val="32"/>
                <w:lang w:val="en-US" w:eastAsia="zh-CN"/>
              </w:rPr>
            </w:pPr>
            <w:r>
              <w:rPr>
                <w:rFonts w:hint="eastAsia" w:ascii="宋体" w:hAnsi="宋体" w:eastAsia="宋体" w:cs="宋体"/>
                <w:color w:val="000000"/>
                <w:kern w:val="2"/>
                <w:sz w:val="24"/>
                <w:szCs w:val="24"/>
                <w:lang w:val="en-US" w:eastAsia="zh-CN" w:bidi="ar-SA"/>
              </w:rPr>
              <w:t>杭州环临环境发展有限公司</w:t>
            </w:r>
          </w:p>
        </w:tc>
        <w:tc>
          <w:tcPr>
            <w:tcW w:w="1609" w:type="dxa"/>
            <w:noWrap w:val="0"/>
            <w:vAlign w:val="center"/>
          </w:tcPr>
          <w:p w14:paraId="558BA252">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383" w:type="dxa"/>
            <w:noWrap w:val="0"/>
            <w:vAlign w:val="center"/>
          </w:tcPr>
          <w:p w14:paraId="62217C3F">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c>
          <w:tcPr>
            <w:tcW w:w="818" w:type="dxa"/>
            <w:noWrap w:val="0"/>
            <w:vAlign w:val="center"/>
          </w:tcPr>
          <w:p w14:paraId="6B4E10E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r>
      <w:tr w14:paraId="1FC7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149" w:type="dxa"/>
            <w:gridSpan w:val="3"/>
            <w:noWrap w:val="0"/>
            <w:vAlign w:val="center"/>
          </w:tcPr>
          <w:p w14:paraId="138D27B3">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color w:val="000000"/>
                <w:kern w:val="2"/>
                <w:sz w:val="32"/>
                <w:szCs w:val="32"/>
                <w:lang w:val="en-US" w:eastAsia="zh-CN" w:bidi="ar-SA"/>
              </w:rPr>
            </w:pPr>
            <w:r>
              <w:rPr>
                <w:rFonts w:hint="eastAsia" w:ascii="宋体" w:hAnsi="宋体" w:eastAsia="宋体" w:cs="宋体"/>
                <w:color w:val="000000"/>
                <w:sz w:val="24"/>
                <w:szCs w:val="24"/>
                <w:lang w:val="en-US" w:eastAsia="zh-CN"/>
              </w:rPr>
              <w:t>投标总价</w:t>
            </w:r>
          </w:p>
        </w:tc>
        <w:tc>
          <w:tcPr>
            <w:tcW w:w="3810" w:type="dxa"/>
            <w:gridSpan w:val="3"/>
            <w:noWrap w:val="0"/>
            <w:vAlign w:val="center"/>
          </w:tcPr>
          <w:p w14:paraId="69A8C6A7">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小写金额：</w:t>
            </w:r>
          </w:p>
          <w:p w14:paraId="4098A2AB">
            <w:pPr>
              <w:widowControl w:val="0"/>
              <w:snapToGrid w:val="0"/>
              <w:spacing w:line="360" w:lineRule="exact"/>
              <w:jc w:val="left"/>
              <w:rPr>
                <w:rFonts w:hint="eastAsia" w:ascii="宋体" w:hAnsi="宋体" w:eastAsia="宋体" w:cs="宋体"/>
                <w:kern w:val="0"/>
                <w:sz w:val="24"/>
                <w:szCs w:val="24"/>
                <w:lang w:val="en-US" w:eastAsia="zh-CN" w:bidi="ar-SA"/>
              </w:rPr>
            </w:pPr>
            <w:r>
              <w:rPr>
                <w:rFonts w:hint="eastAsia" w:ascii="宋体" w:hAnsi="宋体" w:eastAsia="宋体" w:cs="宋体"/>
                <w:color w:val="000000"/>
                <w:kern w:val="2"/>
                <w:sz w:val="24"/>
                <w:szCs w:val="24"/>
                <w:lang w:val="en-US" w:eastAsia="zh-CN" w:bidi="ar-SA"/>
              </w:rPr>
              <w:t>大写金额：</w:t>
            </w:r>
          </w:p>
        </w:tc>
      </w:tr>
    </w:tbl>
    <w:p w14:paraId="2776283D">
      <w:pPr>
        <w:pStyle w:val="65"/>
        <w:spacing w:line="360" w:lineRule="exact"/>
        <w:ind w:right="420" w:rightChars="0" w:firstLine="0" w:firstLineChars="0"/>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注：</w:t>
      </w:r>
    </w:p>
    <w:p w14:paraId="7D517E0C">
      <w:pPr>
        <w:numPr>
          <w:ilvl w:val="0"/>
          <w:numId w:val="8"/>
        </w:num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要求货币为人民币，报价包含货物价款、包装、劳务、运输、装卸、管理、保险、税费等可预见或不可预见等完成本项目的一切费用，投标人承担市场价格波动等一应风险；市场价格波动、停产停供等一应风险由乙方承担，单价不作调整。</w:t>
      </w:r>
    </w:p>
    <w:p w14:paraId="6278AE3F">
      <w:pPr>
        <w:adjustRightInd w:val="0"/>
        <w:snapToGrid w:val="0"/>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2、上述</w:t>
      </w:r>
      <w:r>
        <w:rPr>
          <w:rFonts w:hint="eastAsia" w:ascii="宋体" w:hAnsi="宋体" w:eastAsia="宋体" w:cs="宋体"/>
          <w:color w:val="000000"/>
          <w:spacing w:val="3"/>
          <w:sz w:val="21"/>
          <w:szCs w:val="21"/>
          <w:highlight w:val="none"/>
        </w:rPr>
        <w:t>“</w:t>
      </w:r>
      <w:r>
        <w:rPr>
          <w:rFonts w:hint="eastAsia" w:ascii="宋体" w:hAnsi="宋体" w:eastAsia="宋体" w:cs="宋体"/>
          <w:color w:val="auto"/>
          <w:sz w:val="24"/>
          <w:szCs w:val="24"/>
          <w:highlight w:val="none"/>
          <w:lang w:val="en-US" w:eastAsia="zh-CN"/>
        </w:rPr>
        <w:t>预估数量</w:t>
      </w:r>
      <w:r>
        <w:rPr>
          <w:rFonts w:hint="eastAsia" w:ascii="宋体" w:hAnsi="宋体" w:eastAsia="宋体" w:cs="宋体"/>
          <w:color w:val="000000"/>
          <w:spacing w:val="3"/>
          <w:sz w:val="24"/>
          <w:szCs w:val="24"/>
          <w:highlight w:val="none"/>
        </w:rPr>
        <w:t>”不视为</w:t>
      </w:r>
      <w:r>
        <w:rPr>
          <w:rFonts w:hint="eastAsia" w:ascii="宋体" w:hAnsi="宋体" w:eastAsia="宋体" w:cs="宋体"/>
          <w:color w:val="000000"/>
          <w:spacing w:val="3"/>
          <w:sz w:val="24"/>
          <w:szCs w:val="24"/>
          <w:highlight w:val="none"/>
          <w:lang w:val="en-US" w:eastAsia="zh-CN"/>
        </w:rPr>
        <w:t>采购人</w:t>
      </w:r>
      <w:r>
        <w:rPr>
          <w:rFonts w:hint="eastAsia" w:ascii="宋体" w:hAnsi="宋体" w:eastAsia="宋体" w:cs="宋体"/>
          <w:color w:val="000000"/>
          <w:spacing w:val="3"/>
          <w:sz w:val="24"/>
          <w:szCs w:val="24"/>
          <w:highlight w:val="none"/>
        </w:rPr>
        <w:t>采购承诺，实际数量以</w:t>
      </w:r>
      <w:r>
        <w:rPr>
          <w:rFonts w:hint="eastAsia" w:ascii="宋体" w:hAnsi="宋体" w:eastAsia="宋体" w:cs="宋体"/>
          <w:color w:val="000000"/>
          <w:spacing w:val="3"/>
          <w:sz w:val="24"/>
          <w:szCs w:val="24"/>
          <w:highlight w:val="none"/>
          <w:lang w:val="en-US" w:eastAsia="zh-CN"/>
        </w:rPr>
        <w:t>采购人</w:t>
      </w:r>
      <w:r>
        <w:rPr>
          <w:rFonts w:hint="eastAsia" w:ascii="宋体" w:hAnsi="宋体" w:eastAsia="宋体" w:cs="宋体"/>
          <w:color w:val="000000"/>
          <w:spacing w:val="3"/>
          <w:sz w:val="24"/>
          <w:szCs w:val="24"/>
          <w:highlight w:val="none"/>
        </w:rPr>
        <w:t>需求为准。</w:t>
      </w:r>
      <w:r>
        <w:rPr>
          <w:rFonts w:hint="eastAsia" w:ascii="宋体" w:hAnsi="宋体" w:eastAsia="宋体" w:cs="宋体"/>
          <w:color w:val="000000"/>
          <w:spacing w:val="3"/>
          <w:sz w:val="24"/>
          <w:szCs w:val="24"/>
          <w:highlight w:val="none"/>
          <w:lang w:val="en-US" w:eastAsia="zh-CN"/>
        </w:rPr>
        <w:t>投标人</w:t>
      </w:r>
      <w:r>
        <w:rPr>
          <w:rFonts w:hint="eastAsia" w:ascii="宋体" w:hAnsi="宋体" w:eastAsia="宋体" w:cs="宋体"/>
          <w:color w:val="000000"/>
          <w:spacing w:val="3"/>
          <w:sz w:val="24"/>
          <w:szCs w:val="24"/>
          <w:highlight w:val="none"/>
        </w:rPr>
        <w:t>应清楚在供货期</w:t>
      </w:r>
      <w:r>
        <w:rPr>
          <w:rFonts w:hint="eastAsia" w:ascii="宋体" w:hAnsi="宋体" w:eastAsia="宋体" w:cs="宋体"/>
          <w:color w:val="000000"/>
          <w:spacing w:val="3"/>
          <w:sz w:val="24"/>
          <w:szCs w:val="24"/>
          <w:highlight w:val="none"/>
          <w:lang w:val="en-US" w:eastAsia="zh-CN"/>
        </w:rPr>
        <w:t>采购人</w:t>
      </w:r>
      <w:r>
        <w:rPr>
          <w:rFonts w:hint="eastAsia" w:ascii="宋体" w:hAnsi="宋体" w:eastAsia="宋体" w:cs="宋体"/>
          <w:color w:val="000000"/>
          <w:spacing w:val="3"/>
          <w:sz w:val="24"/>
          <w:szCs w:val="24"/>
          <w:highlight w:val="none"/>
        </w:rPr>
        <w:t>存在减少供货需求或不需要供货的可能性，同时</w:t>
      </w:r>
      <w:r>
        <w:rPr>
          <w:rFonts w:hint="eastAsia" w:ascii="宋体" w:hAnsi="宋体" w:eastAsia="宋体" w:cs="宋体"/>
          <w:color w:val="000000"/>
          <w:spacing w:val="3"/>
          <w:sz w:val="24"/>
          <w:szCs w:val="24"/>
          <w:highlight w:val="none"/>
          <w:lang w:val="en-US" w:eastAsia="zh-CN"/>
        </w:rPr>
        <w:t>采购人</w:t>
      </w:r>
      <w:r>
        <w:rPr>
          <w:rFonts w:hint="eastAsia" w:ascii="宋体" w:hAnsi="宋体" w:eastAsia="宋体" w:cs="宋体"/>
          <w:color w:val="000000"/>
          <w:spacing w:val="3"/>
          <w:sz w:val="24"/>
          <w:szCs w:val="24"/>
          <w:highlight w:val="none"/>
        </w:rPr>
        <w:t>不承担任何责任。</w:t>
      </w:r>
    </w:p>
    <w:p w14:paraId="4813848E">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3、报价一经涂改，应在涂改处加盖单位公章或由法定代表人签字或其授权代表签字，否则评标委员会将不接受该修改内容；</w:t>
      </w:r>
    </w:p>
    <w:p w14:paraId="0329197A">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4、报价有效期90天；</w:t>
      </w:r>
    </w:p>
    <w:p w14:paraId="7F565256">
      <w:pPr>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5、单价或总价报价超过最高限价作无效标处理，投标报价出现总价金额与按单价汇总金额不一致的，以总价为准，修改单价。</w:t>
      </w:r>
    </w:p>
    <w:p w14:paraId="7260BC1E">
      <w:pPr>
        <w:pStyle w:val="7"/>
        <w:rPr>
          <w:rFonts w:hint="eastAsia" w:ascii="宋体" w:hAnsi="宋体" w:eastAsia="宋体" w:cs="宋体"/>
          <w:color w:val="auto"/>
          <w:sz w:val="21"/>
          <w:szCs w:val="21"/>
          <w:highlight w:val="none"/>
          <w:lang w:val="en-US" w:eastAsia="zh-CN"/>
        </w:rPr>
      </w:pPr>
    </w:p>
    <w:p w14:paraId="10840B5F">
      <w:pPr>
        <w:pStyle w:val="1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投标人（盖公章）：</w:t>
      </w:r>
    </w:p>
    <w:p w14:paraId="7661F644">
      <w:pPr>
        <w:pStyle w:val="1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 xml:space="preserve">或其委托代理人（签字或盖章）：          </w:t>
      </w:r>
    </w:p>
    <w:p w14:paraId="3AFFB69F">
      <w:pPr>
        <w:pStyle w:val="1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 xml:space="preserve">      年    月    日</w:t>
      </w:r>
      <w:bookmarkStart w:id="102" w:name="_Toc30796"/>
    </w:p>
    <w:p w14:paraId="7DFBAD67">
      <w:pPr>
        <w:pStyle w:val="10"/>
        <w:snapToGrid w:val="0"/>
        <w:spacing w:line="360" w:lineRule="auto"/>
        <w:rPr>
          <w:rFonts w:hint="eastAsia" w:ascii="宋体" w:hAnsi="宋体" w:eastAsia="宋体" w:cs="宋体"/>
          <w:color w:val="auto"/>
          <w:sz w:val="24"/>
          <w:szCs w:val="24"/>
          <w:highlight w:val="none"/>
        </w:rPr>
      </w:pPr>
    </w:p>
    <w:p w14:paraId="2D5A62C7">
      <w:pPr>
        <w:rPr>
          <w:rFonts w:hint="eastAsia" w:ascii="宋体" w:hAnsi="宋体" w:eastAsia="宋体" w:cs="宋体"/>
          <w:color w:val="auto"/>
          <w:highlight w:val="none"/>
          <w:lang w:val="en-US" w:eastAsia="zh-CN"/>
        </w:rPr>
      </w:pPr>
      <w:bookmarkStart w:id="103" w:name="_Toc83886045"/>
      <w:bookmarkStart w:id="104" w:name="_Toc27321"/>
    </w:p>
    <w:p w14:paraId="113690AF">
      <w:pPr>
        <w:pStyle w:val="7"/>
        <w:rPr>
          <w:rFonts w:hint="eastAsia" w:ascii="宋体" w:hAnsi="宋体" w:eastAsia="宋体" w:cs="宋体"/>
          <w:color w:val="auto"/>
          <w:highlight w:val="none"/>
          <w:lang w:val="en-US" w:eastAsia="zh-CN"/>
        </w:rPr>
      </w:pPr>
    </w:p>
    <w:p w14:paraId="4901A71D">
      <w:pPr>
        <w:pStyle w:val="22"/>
        <w:rPr>
          <w:rFonts w:hint="eastAsia" w:ascii="宋体" w:hAnsi="宋体" w:eastAsia="宋体" w:cs="宋体"/>
          <w:color w:val="auto"/>
          <w:highlight w:val="none"/>
          <w:lang w:val="en-US" w:eastAsia="zh-CN"/>
        </w:rPr>
      </w:pPr>
    </w:p>
    <w:p w14:paraId="62BC18E1">
      <w:pPr>
        <w:rPr>
          <w:rFonts w:hint="eastAsia" w:ascii="宋体" w:hAnsi="宋体" w:eastAsia="宋体" w:cs="宋体"/>
          <w:color w:val="auto"/>
          <w:highlight w:val="none"/>
          <w:lang w:val="en-US" w:eastAsia="zh-CN"/>
        </w:rPr>
      </w:pPr>
    </w:p>
    <w:p w14:paraId="42B08D9A">
      <w:pPr>
        <w:pStyle w:val="4"/>
        <w:numPr>
          <w:ilvl w:val="-1"/>
          <w:numId w:val="0"/>
        </w:numPr>
        <w:ind w:firstLine="0" w:firstLineChars="0"/>
        <w:jc w:val="center"/>
        <w:rPr>
          <w:rFonts w:hint="eastAsia" w:ascii="宋体" w:hAnsi="宋体" w:eastAsia="宋体" w:cs="宋体"/>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Cs w:val="0"/>
          <w:color w:val="auto"/>
          <w:sz w:val="24"/>
          <w:szCs w:val="24"/>
          <w:highlight w:val="none"/>
        </w:rPr>
        <w:t>法定代表人身份证明或</w:t>
      </w:r>
    </w:p>
    <w:p w14:paraId="243BB6F8">
      <w:pPr>
        <w:pStyle w:val="4"/>
        <w:numPr>
          <w:ilvl w:val="-1"/>
          <w:numId w:val="0"/>
        </w:numPr>
        <w:ind w:firstLine="0" w:firstLineChars="0"/>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附有法定代表人和</w:t>
      </w:r>
      <w:r>
        <w:rPr>
          <w:rFonts w:hint="eastAsia" w:ascii="宋体" w:hAnsi="宋体" w:eastAsia="宋体" w:cs="宋体"/>
          <w:bCs w:val="0"/>
          <w:color w:val="auto"/>
          <w:sz w:val="24"/>
          <w:szCs w:val="24"/>
          <w:highlight w:val="none"/>
          <w:lang w:val="en-US" w:eastAsia="zh-CN"/>
        </w:rPr>
        <w:t>委托代理人</w:t>
      </w:r>
      <w:r>
        <w:rPr>
          <w:rFonts w:hint="eastAsia" w:ascii="宋体" w:hAnsi="宋体" w:eastAsia="宋体" w:cs="宋体"/>
          <w:bCs w:val="0"/>
          <w:color w:val="auto"/>
          <w:sz w:val="24"/>
          <w:szCs w:val="24"/>
          <w:highlight w:val="none"/>
        </w:rPr>
        <w:t>身份证明的授权委托书</w:t>
      </w:r>
    </w:p>
    <w:p w14:paraId="632DD94B">
      <w:pPr>
        <w:snapToGrid w:val="0"/>
        <w:spacing w:line="360" w:lineRule="auto"/>
        <w:jc w:val="center"/>
        <w:rPr>
          <w:rFonts w:hint="eastAsia" w:ascii="宋体" w:hAnsi="宋体" w:eastAsia="宋体" w:cs="宋体"/>
          <w:b/>
          <w:bCs/>
          <w:color w:val="auto"/>
          <w:sz w:val="24"/>
          <w:szCs w:val="24"/>
          <w:highlight w:val="none"/>
        </w:rPr>
      </w:pPr>
    </w:p>
    <w:p w14:paraId="217C9D6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法定代表人身份证明</w:t>
      </w:r>
    </w:p>
    <w:p w14:paraId="4D2ED185">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p>
    <w:p w14:paraId="368869A4">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431F3B2F">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10E2CCC7">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C38C9D6">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经营期限：</w:t>
      </w:r>
    </w:p>
    <w:p w14:paraId="635AA50D">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18DB6D37">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14:paraId="33BBA3B1">
      <w:pPr>
        <w:snapToGrid w:val="0"/>
        <w:spacing w:line="360" w:lineRule="auto"/>
        <w:ind w:firstLine="560"/>
        <w:rPr>
          <w:rFonts w:hint="eastAsia" w:ascii="宋体" w:hAnsi="宋体" w:eastAsia="宋体" w:cs="宋体"/>
          <w:color w:val="auto"/>
          <w:sz w:val="24"/>
          <w:szCs w:val="24"/>
          <w:highlight w:val="none"/>
        </w:rPr>
      </w:pPr>
    </w:p>
    <w:p w14:paraId="10F7010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（投标人名称）</w:t>
      </w:r>
      <w:r>
        <w:rPr>
          <w:rFonts w:hint="eastAsia" w:ascii="宋体" w:hAnsi="宋体" w:eastAsia="宋体" w:cs="宋体"/>
          <w:color w:val="auto"/>
          <w:sz w:val="24"/>
          <w:szCs w:val="24"/>
          <w:highlight w:val="none"/>
        </w:rPr>
        <w:t>的法定代表人。</w:t>
      </w:r>
    </w:p>
    <w:p w14:paraId="55FBFEE6">
      <w:pPr>
        <w:snapToGrid w:val="0"/>
        <w:spacing w:line="360" w:lineRule="auto"/>
        <w:ind w:firstLine="560"/>
        <w:rPr>
          <w:rFonts w:hint="eastAsia" w:ascii="宋体" w:hAnsi="宋体" w:eastAsia="宋体" w:cs="宋体"/>
          <w:color w:val="auto"/>
          <w:sz w:val="24"/>
          <w:szCs w:val="24"/>
          <w:highlight w:val="none"/>
        </w:rPr>
      </w:pPr>
    </w:p>
    <w:p w14:paraId="1BE74AE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74ED6330">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w:t>
      </w:r>
    </w:p>
    <w:p w14:paraId="6D403836">
      <w:pPr>
        <w:snapToGrid w:val="0"/>
        <w:spacing w:line="360" w:lineRule="auto"/>
        <w:ind w:firstLine="7104" w:firstLineChars="29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投标人：（盖单位公章） </w:t>
      </w:r>
    </w:p>
    <w:p w14:paraId="68D29CE7">
      <w:pPr>
        <w:snapToGrid w:val="0"/>
        <w:spacing w:line="360" w:lineRule="auto"/>
        <w:ind w:firstLine="0" w:firstLineChars="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2613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25A875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法定代表人身份证复印件粘贴处（正、反面）</w:t>
            </w:r>
          </w:p>
        </w:tc>
      </w:tr>
    </w:tbl>
    <w:p w14:paraId="2469AEF0">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注：法定代表人参加开标的，须携带本人身份证或驾驶证或公安机关出具的临时身份证明或港澳台胞证或护照原件（其他诸如市民卡等无效）和法定代表人身份证明原件。</w:t>
      </w:r>
    </w:p>
    <w:p w14:paraId="683AFCC7">
      <w:pPr>
        <w:spacing w:after="120" w:afterLines="50" w:line="440" w:lineRule="exact"/>
        <w:jc w:val="center"/>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授权委托书</w:t>
      </w:r>
    </w:p>
    <w:p w14:paraId="7FF04BBA">
      <w:pPr>
        <w:spacing w:line="440" w:lineRule="exact"/>
        <w:ind w:firstLine="480" w:firstLineChars="200"/>
        <w:rPr>
          <w:rFonts w:hint="eastAsia" w:ascii="宋体" w:hAnsi="宋体" w:eastAsia="宋体" w:cs="宋体"/>
          <w:color w:val="auto"/>
          <w:sz w:val="24"/>
          <w:szCs w:val="24"/>
          <w:highlight w:val="none"/>
        </w:rPr>
      </w:pPr>
    </w:p>
    <w:p w14:paraId="06237B6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（投标人名称）</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）。代理人根据授权，以我方名义签署、澄清、说明、补正、递交、撤回、修改</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投标文件、签订合同和处理有关事宜，其法律后果由我方承担。</w:t>
      </w:r>
    </w:p>
    <w:p w14:paraId="5BA7DB67">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14:paraId="0EC9E1C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附：委托代理人身份证复印件</w:t>
      </w:r>
    </w:p>
    <w:p w14:paraId="01D009D6">
      <w:pPr>
        <w:spacing w:line="440" w:lineRule="exact"/>
        <w:rPr>
          <w:rFonts w:hint="eastAsia" w:ascii="宋体" w:hAnsi="宋体" w:eastAsia="宋体" w:cs="宋体"/>
          <w:color w:val="auto"/>
          <w:sz w:val="24"/>
          <w:szCs w:val="24"/>
          <w:highlight w:val="none"/>
        </w:rPr>
      </w:pPr>
    </w:p>
    <w:p w14:paraId="1C9281D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投标人：（盖单位公章）</w:t>
      </w:r>
    </w:p>
    <w:p w14:paraId="055E19C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：（签字或盖章）</w:t>
      </w:r>
    </w:p>
    <w:p w14:paraId="66787C4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33B6476E">
      <w:pPr>
        <w:spacing w:line="440" w:lineRule="exact"/>
        <w:rPr>
          <w:rFonts w:hint="eastAsia" w:ascii="宋体" w:hAnsi="宋体" w:eastAsia="宋体" w:cs="宋体"/>
          <w:color w:val="auto"/>
          <w:sz w:val="24"/>
          <w:szCs w:val="24"/>
          <w:highlight w:val="none"/>
        </w:rPr>
      </w:pPr>
    </w:p>
    <w:p w14:paraId="7959E6E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委托的代理人：（签字或盖章）</w:t>
      </w:r>
    </w:p>
    <w:p w14:paraId="584FD06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p w14:paraId="31985240">
      <w:pPr>
        <w:snapToGrid w:val="0"/>
        <w:spacing w:line="360" w:lineRule="auto"/>
        <w:ind w:firstLine="5040" w:firstLineChars="2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tbl>
      <w:tblPr>
        <w:tblStyle w:val="24"/>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780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noWrap w:val="0"/>
            <w:vAlign w:val="center"/>
          </w:tcPr>
          <w:p w14:paraId="4313C2B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委托代理人身份证复印件粘贴处（正、反面）</w:t>
            </w:r>
          </w:p>
        </w:tc>
      </w:tr>
    </w:tbl>
    <w:p w14:paraId="75D8938F">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注：1、如投标文件由委托代理人签字或盖章的，</w:t>
      </w:r>
      <w:r>
        <w:rPr>
          <w:rFonts w:hint="eastAsia" w:ascii="宋体" w:hAnsi="宋体" w:eastAsia="宋体" w:cs="宋体"/>
          <w:b/>
          <w:color w:val="auto"/>
          <w:sz w:val="24"/>
          <w:szCs w:val="24"/>
          <w:highlight w:val="none"/>
          <w:u w:val="single"/>
        </w:rPr>
        <w:t>投标文件必须附此授权委托书和法定代表人身份证明</w:t>
      </w:r>
      <w:r>
        <w:rPr>
          <w:rFonts w:hint="eastAsia" w:ascii="宋体" w:hAnsi="宋体" w:eastAsia="宋体" w:cs="宋体"/>
          <w:b/>
          <w:color w:val="auto"/>
          <w:sz w:val="24"/>
          <w:szCs w:val="24"/>
          <w:highlight w:val="none"/>
        </w:rPr>
        <w:t>。</w:t>
      </w:r>
    </w:p>
    <w:p w14:paraId="6152C7AB">
      <w:pPr>
        <w:spacing w:line="44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kern w:val="0"/>
          <w:sz w:val="24"/>
          <w:szCs w:val="24"/>
          <w:highlight w:val="none"/>
        </w:rPr>
        <w:t>委托代理人参加开标的，须携带本人身份证或驾驶证或公安机关出具的临时身份证明或港澳台胞证或护照原件（其他诸如市民卡等无效）、法定代表人身份证明和授权委托书原件。</w:t>
      </w:r>
    </w:p>
    <w:p w14:paraId="352380D7">
      <w:pPr>
        <w:pStyle w:val="4"/>
        <w:jc w:val="center"/>
        <w:rPr>
          <w:rFonts w:hint="eastAsia" w:ascii="宋体" w:hAnsi="宋体" w:eastAsia="宋体" w:cs="宋体"/>
          <w:bCs w:val="0"/>
          <w:color w:val="auto"/>
          <w:sz w:val="24"/>
          <w:szCs w:val="24"/>
          <w:highlight w:val="none"/>
          <w:lang w:val="en-US" w:eastAsia="zh-CN"/>
        </w:rPr>
      </w:pPr>
    </w:p>
    <w:p w14:paraId="70193022">
      <w:pPr>
        <w:pStyle w:val="4"/>
        <w:jc w:val="center"/>
        <w:rPr>
          <w:rFonts w:hint="eastAsia" w:ascii="宋体" w:hAnsi="宋体" w:eastAsia="宋体" w:cs="宋体"/>
          <w:bCs w:val="0"/>
          <w:color w:val="auto"/>
          <w:sz w:val="24"/>
          <w:szCs w:val="24"/>
          <w:highlight w:val="none"/>
          <w:lang w:val="en-US" w:eastAsia="zh-CN"/>
        </w:rPr>
      </w:pPr>
    </w:p>
    <w:p w14:paraId="2A166C03">
      <w:pPr>
        <w:pStyle w:val="4"/>
        <w:jc w:val="center"/>
        <w:rPr>
          <w:rFonts w:hint="eastAsia" w:ascii="宋体" w:hAnsi="宋体" w:eastAsia="宋体" w:cs="宋体"/>
          <w:bCs w:val="0"/>
          <w:color w:val="auto"/>
          <w:sz w:val="24"/>
          <w:szCs w:val="24"/>
          <w:highlight w:val="none"/>
          <w:lang w:val="en-US" w:eastAsia="zh-CN"/>
        </w:rPr>
      </w:pPr>
    </w:p>
    <w:p w14:paraId="502AC097">
      <w:pPr>
        <w:rPr>
          <w:rFonts w:hint="eastAsia" w:ascii="宋体" w:hAnsi="宋体" w:eastAsia="宋体" w:cs="宋体"/>
          <w:color w:val="auto"/>
          <w:highlight w:val="none"/>
          <w:lang w:val="en-US" w:eastAsia="zh-CN"/>
        </w:rPr>
      </w:pPr>
    </w:p>
    <w:p w14:paraId="6EBA9057">
      <w:pPr>
        <w:pStyle w:val="4"/>
        <w:jc w:val="center"/>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lang w:val="en-US" w:eastAsia="zh-CN"/>
        </w:rPr>
        <w:t>四、</w:t>
      </w:r>
      <w:r>
        <w:rPr>
          <w:rFonts w:hint="eastAsia" w:ascii="宋体" w:hAnsi="宋体" w:eastAsia="宋体" w:cs="宋体"/>
          <w:bCs w:val="0"/>
          <w:color w:val="auto"/>
          <w:sz w:val="24"/>
          <w:szCs w:val="24"/>
          <w:highlight w:val="none"/>
        </w:rPr>
        <w:t>商务偏离表</w:t>
      </w:r>
    </w:p>
    <w:p w14:paraId="79818757">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投标人应根据其投标文件响应情况，对照招标文件的要求，有差异的，则在表中写明实际响应的具体内容。</w:t>
      </w:r>
    </w:p>
    <w:tbl>
      <w:tblPr>
        <w:tblStyle w:val="24"/>
        <w:tblpPr w:leftFromText="180" w:rightFromText="180" w:vertAnchor="text" w:horzAnchor="page" w:tblpX="1491" w:tblpY="804"/>
        <w:tblOverlap w:val="never"/>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940"/>
        <w:gridCol w:w="1652"/>
        <w:gridCol w:w="989"/>
        <w:gridCol w:w="2245"/>
        <w:gridCol w:w="1127"/>
        <w:gridCol w:w="1127"/>
      </w:tblGrid>
      <w:tr w14:paraId="2C2D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Merge w:val="restart"/>
            <w:noWrap w:val="0"/>
            <w:vAlign w:val="center"/>
          </w:tcPr>
          <w:p w14:paraId="73897A8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92" w:type="dxa"/>
            <w:gridSpan w:val="2"/>
            <w:noWrap w:val="0"/>
            <w:vAlign w:val="center"/>
          </w:tcPr>
          <w:p w14:paraId="31199D7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3234" w:type="dxa"/>
            <w:gridSpan w:val="2"/>
            <w:noWrap w:val="0"/>
            <w:vAlign w:val="center"/>
          </w:tcPr>
          <w:p w14:paraId="1418145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w:t>
            </w:r>
          </w:p>
        </w:tc>
        <w:tc>
          <w:tcPr>
            <w:tcW w:w="1127" w:type="dxa"/>
            <w:vMerge w:val="restart"/>
            <w:noWrap w:val="0"/>
            <w:vAlign w:val="center"/>
          </w:tcPr>
          <w:p w14:paraId="0CA5234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是否响应</w:t>
            </w:r>
          </w:p>
        </w:tc>
        <w:tc>
          <w:tcPr>
            <w:tcW w:w="1127" w:type="dxa"/>
            <w:vMerge w:val="restart"/>
            <w:noWrap w:val="0"/>
            <w:vAlign w:val="center"/>
          </w:tcPr>
          <w:p w14:paraId="7EF1EDD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偏离说明</w:t>
            </w:r>
          </w:p>
        </w:tc>
      </w:tr>
      <w:tr w14:paraId="3F9A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Merge w:val="continue"/>
            <w:noWrap w:val="0"/>
            <w:vAlign w:val="center"/>
          </w:tcPr>
          <w:p w14:paraId="75A87D7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28F7D8E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1652" w:type="dxa"/>
            <w:noWrap w:val="0"/>
            <w:vAlign w:val="center"/>
          </w:tcPr>
          <w:p w14:paraId="3E2194A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简要内容</w:t>
            </w:r>
          </w:p>
        </w:tc>
        <w:tc>
          <w:tcPr>
            <w:tcW w:w="989" w:type="dxa"/>
            <w:noWrap w:val="0"/>
            <w:vAlign w:val="center"/>
          </w:tcPr>
          <w:p w14:paraId="3831167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2245" w:type="dxa"/>
            <w:noWrap w:val="0"/>
            <w:vAlign w:val="center"/>
          </w:tcPr>
          <w:p w14:paraId="06469E9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实际响应的具体内容</w:t>
            </w:r>
          </w:p>
        </w:tc>
        <w:tc>
          <w:tcPr>
            <w:tcW w:w="1127" w:type="dxa"/>
            <w:vMerge w:val="continue"/>
            <w:noWrap w:val="0"/>
            <w:vAlign w:val="center"/>
          </w:tcPr>
          <w:p w14:paraId="161408E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vMerge w:val="continue"/>
            <w:noWrap w:val="0"/>
            <w:vAlign w:val="center"/>
          </w:tcPr>
          <w:p w14:paraId="3A7E14C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C06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7471201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31DBF5C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330B99A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1B292D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6A329E0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35B65B6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636A164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D98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14B6875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69F05D7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383F5A5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26AC7B0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32AB7F7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3D8F797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1E7C4B8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21A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3C32DA6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1D56848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0ED5EE5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2A3EF38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4D8DD9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4DE497F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3D85264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0265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16B74D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12A8009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3947A94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0864AA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6FEB2E3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3855AB7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24210C5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837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5D73F2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1A591B9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0F19FD6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6E1C8D8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18AB1B7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273430F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1E229F2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8EB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4EA8ED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030179A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2D611A5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7A11C0D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6624EEA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7CC9E97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073C39A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2C6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7FDD236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51BA452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6D2E7E0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239B9B9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2E2B87D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0CBC255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43235B5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0D6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7285333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0C6A497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5C089CA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1778CA7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1680DDD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749179E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47CAD86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E86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0667CAD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48B8EA8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4E6436A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2DFCF36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507F27F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48B63F3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3E568B7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EA5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noWrap w:val="0"/>
            <w:vAlign w:val="center"/>
          </w:tcPr>
          <w:p w14:paraId="27D96BF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1087CC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7D0AA63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0282139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09DF1B8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32E8A69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2F413FE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0C63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77" w:type="dxa"/>
            <w:noWrap w:val="0"/>
            <w:vAlign w:val="center"/>
          </w:tcPr>
          <w:p w14:paraId="2F1092B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40" w:type="dxa"/>
            <w:noWrap w:val="0"/>
            <w:vAlign w:val="center"/>
          </w:tcPr>
          <w:p w14:paraId="664587F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52" w:type="dxa"/>
            <w:noWrap w:val="0"/>
            <w:vAlign w:val="center"/>
          </w:tcPr>
          <w:p w14:paraId="1C6C39D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989" w:type="dxa"/>
            <w:noWrap w:val="0"/>
            <w:vAlign w:val="center"/>
          </w:tcPr>
          <w:p w14:paraId="5C64C67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45" w:type="dxa"/>
            <w:noWrap w:val="0"/>
            <w:vAlign w:val="center"/>
          </w:tcPr>
          <w:p w14:paraId="6C8291F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6564A97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7" w:type="dxa"/>
            <w:noWrap w:val="0"/>
            <w:vAlign w:val="center"/>
          </w:tcPr>
          <w:p w14:paraId="7482231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0AA4BE34">
      <w:pPr>
        <w:wordWrap/>
        <w:adjustRightInd w:val="0"/>
        <w:snapToGrid w:val="0"/>
        <w:spacing w:line="360" w:lineRule="auto"/>
        <w:ind w:firstLine="0" w:firstLineChars="0"/>
        <w:jc w:val="left"/>
        <w:rPr>
          <w:rFonts w:hint="eastAsia" w:ascii="宋体" w:hAnsi="宋体" w:eastAsia="宋体" w:cs="宋体"/>
          <w:color w:val="auto"/>
          <w:kern w:val="2"/>
          <w:sz w:val="24"/>
          <w:szCs w:val="24"/>
          <w:highlight w:val="none"/>
          <w:lang w:val="en-US" w:eastAsia="zh-CN" w:bidi="ar-SA"/>
        </w:rPr>
      </w:pPr>
    </w:p>
    <w:p w14:paraId="6FE3DFB1">
      <w:pPr>
        <w:pStyle w:val="7"/>
        <w:rPr>
          <w:rFonts w:hint="eastAsia" w:ascii="宋体" w:hAnsi="宋体" w:eastAsia="宋体" w:cs="宋体"/>
          <w:color w:val="auto"/>
          <w:kern w:val="2"/>
          <w:sz w:val="24"/>
          <w:szCs w:val="24"/>
          <w:highlight w:val="none"/>
          <w:lang w:val="en-US" w:eastAsia="zh-CN" w:bidi="ar-SA"/>
        </w:rPr>
      </w:pPr>
    </w:p>
    <w:p w14:paraId="55A2C613">
      <w:pPr>
        <w:pStyle w:val="22"/>
        <w:rPr>
          <w:rFonts w:hint="eastAsia" w:ascii="宋体" w:hAnsi="宋体" w:eastAsia="宋体" w:cs="宋体"/>
          <w:color w:val="auto"/>
          <w:kern w:val="2"/>
          <w:sz w:val="24"/>
          <w:szCs w:val="24"/>
          <w:highlight w:val="none"/>
          <w:lang w:val="en-US" w:eastAsia="zh-CN" w:bidi="ar-SA"/>
        </w:rPr>
      </w:pPr>
    </w:p>
    <w:p w14:paraId="2D031875">
      <w:pPr>
        <w:rPr>
          <w:rFonts w:hint="eastAsia" w:ascii="宋体" w:hAnsi="宋体" w:eastAsia="宋体" w:cs="宋体"/>
          <w:color w:val="auto"/>
          <w:kern w:val="2"/>
          <w:sz w:val="24"/>
          <w:szCs w:val="24"/>
          <w:highlight w:val="none"/>
          <w:lang w:val="en-US" w:eastAsia="zh-CN" w:bidi="ar-SA"/>
        </w:rPr>
      </w:pPr>
    </w:p>
    <w:p w14:paraId="64DFDC9E">
      <w:pPr>
        <w:pStyle w:val="7"/>
        <w:rPr>
          <w:rFonts w:hint="eastAsia" w:ascii="宋体" w:hAnsi="宋体" w:eastAsia="宋体" w:cs="宋体"/>
          <w:color w:val="auto"/>
          <w:kern w:val="2"/>
          <w:sz w:val="24"/>
          <w:szCs w:val="24"/>
          <w:highlight w:val="none"/>
          <w:lang w:val="en-US" w:eastAsia="zh-CN" w:bidi="ar-SA"/>
        </w:rPr>
      </w:pPr>
    </w:p>
    <w:p w14:paraId="2A88E6F3">
      <w:pPr>
        <w:pStyle w:val="22"/>
        <w:rPr>
          <w:rFonts w:hint="eastAsia" w:ascii="宋体" w:hAnsi="宋体" w:eastAsia="宋体" w:cs="宋体"/>
          <w:color w:val="auto"/>
          <w:kern w:val="2"/>
          <w:sz w:val="24"/>
          <w:szCs w:val="24"/>
          <w:highlight w:val="none"/>
          <w:lang w:val="en-US" w:eastAsia="zh-CN" w:bidi="ar-SA"/>
        </w:rPr>
      </w:pPr>
    </w:p>
    <w:p w14:paraId="0E386C09">
      <w:pPr>
        <w:rPr>
          <w:rFonts w:hint="eastAsia" w:ascii="宋体" w:hAnsi="宋体" w:eastAsia="宋体" w:cs="宋体"/>
          <w:color w:val="auto"/>
          <w:kern w:val="2"/>
          <w:sz w:val="24"/>
          <w:szCs w:val="24"/>
          <w:highlight w:val="none"/>
          <w:lang w:val="en-US" w:eastAsia="zh-CN" w:bidi="ar-SA"/>
        </w:rPr>
      </w:pPr>
    </w:p>
    <w:p w14:paraId="109730E4">
      <w:pPr>
        <w:pStyle w:val="7"/>
        <w:rPr>
          <w:rFonts w:hint="eastAsia" w:ascii="宋体" w:hAnsi="宋体" w:eastAsia="宋体" w:cs="宋体"/>
          <w:color w:val="auto"/>
          <w:kern w:val="2"/>
          <w:sz w:val="24"/>
          <w:szCs w:val="24"/>
          <w:highlight w:val="none"/>
          <w:lang w:val="en-US" w:eastAsia="zh-CN" w:bidi="ar-SA"/>
        </w:rPr>
      </w:pPr>
    </w:p>
    <w:p w14:paraId="717589BD">
      <w:pPr>
        <w:pStyle w:val="22"/>
        <w:rPr>
          <w:rFonts w:hint="eastAsia" w:ascii="宋体" w:hAnsi="宋体" w:eastAsia="宋体" w:cs="宋体"/>
          <w:color w:val="auto"/>
          <w:kern w:val="2"/>
          <w:sz w:val="24"/>
          <w:szCs w:val="24"/>
          <w:highlight w:val="none"/>
          <w:lang w:val="en-US" w:eastAsia="zh-CN" w:bidi="ar-SA"/>
        </w:rPr>
      </w:pPr>
    </w:p>
    <w:p w14:paraId="220691C2">
      <w:pPr>
        <w:rPr>
          <w:rFonts w:hint="eastAsia" w:ascii="宋体" w:hAnsi="宋体" w:eastAsia="宋体" w:cs="宋体"/>
          <w:color w:val="auto"/>
          <w:kern w:val="2"/>
          <w:sz w:val="24"/>
          <w:szCs w:val="24"/>
          <w:highlight w:val="none"/>
          <w:lang w:val="en-US" w:eastAsia="zh-CN" w:bidi="ar-SA"/>
        </w:rPr>
      </w:pPr>
    </w:p>
    <w:p w14:paraId="0B9A78AF">
      <w:pPr>
        <w:pStyle w:val="7"/>
        <w:rPr>
          <w:rFonts w:hint="eastAsia" w:ascii="宋体" w:hAnsi="宋体" w:eastAsia="宋体" w:cs="宋体"/>
          <w:color w:val="auto"/>
          <w:kern w:val="2"/>
          <w:sz w:val="24"/>
          <w:szCs w:val="24"/>
          <w:highlight w:val="none"/>
          <w:lang w:val="en-US" w:eastAsia="zh-CN" w:bidi="ar-SA"/>
        </w:rPr>
      </w:pPr>
    </w:p>
    <w:p w14:paraId="7E0B7DD7">
      <w:pPr>
        <w:pStyle w:val="22"/>
        <w:rPr>
          <w:rFonts w:hint="eastAsia" w:ascii="宋体" w:hAnsi="宋体" w:eastAsia="宋体" w:cs="宋体"/>
          <w:color w:val="auto"/>
          <w:kern w:val="2"/>
          <w:sz w:val="24"/>
          <w:szCs w:val="24"/>
          <w:highlight w:val="none"/>
          <w:lang w:val="en-US" w:eastAsia="zh-CN" w:bidi="ar-SA"/>
        </w:rPr>
      </w:pPr>
    </w:p>
    <w:p w14:paraId="661B6DA5">
      <w:pPr>
        <w:rPr>
          <w:rFonts w:hint="eastAsia" w:ascii="宋体" w:hAnsi="宋体" w:eastAsia="宋体" w:cs="宋体"/>
          <w:color w:val="auto"/>
          <w:kern w:val="2"/>
          <w:sz w:val="24"/>
          <w:szCs w:val="24"/>
          <w:highlight w:val="none"/>
          <w:lang w:val="en-US" w:eastAsia="zh-CN" w:bidi="ar-SA"/>
        </w:rPr>
      </w:pPr>
    </w:p>
    <w:p w14:paraId="69354A9D">
      <w:pPr>
        <w:pStyle w:val="7"/>
        <w:rPr>
          <w:rFonts w:hint="eastAsia" w:ascii="宋体" w:hAnsi="宋体" w:eastAsia="宋体" w:cs="宋体"/>
          <w:color w:val="auto"/>
          <w:kern w:val="2"/>
          <w:sz w:val="24"/>
          <w:szCs w:val="24"/>
          <w:highlight w:val="none"/>
          <w:lang w:val="en-US" w:eastAsia="zh-CN" w:bidi="ar-SA"/>
        </w:rPr>
      </w:pPr>
    </w:p>
    <w:p w14:paraId="731F22B2">
      <w:pPr>
        <w:pStyle w:val="22"/>
        <w:rPr>
          <w:rFonts w:hint="eastAsia" w:ascii="宋体" w:hAnsi="宋体" w:eastAsia="宋体" w:cs="宋体"/>
          <w:color w:val="auto"/>
          <w:kern w:val="2"/>
          <w:sz w:val="24"/>
          <w:szCs w:val="24"/>
          <w:highlight w:val="none"/>
          <w:lang w:val="en-US" w:eastAsia="zh-CN" w:bidi="ar-SA"/>
        </w:rPr>
      </w:pPr>
    </w:p>
    <w:p w14:paraId="65E294A7">
      <w:pPr>
        <w:rPr>
          <w:rFonts w:hint="eastAsia" w:ascii="宋体" w:hAnsi="宋体" w:eastAsia="宋体" w:cs="宋体"/>
          <w:color w:val="auto"/>
          <w:kern w:val="2"/>
          <w:sz w:val="24"/>
          <w:szCs w:val="24"/>
          <w:highlight w:val="none"/>
          <w:lang w:val="en-US" w:eastAsia="zh-CN" w:bidi="ar-SA"/>
        </w:rPr>
      </w:pPr>
    </w:p>
    <w:p w14:paraId="7732AE1D">
      <w:pPr>
        <w:pStyle w:val="7"/>
        <w:rPr>
          <w:rFonts w:hint="eastAsia" w:ascii="宋体" w:hAnsi="宋体" w:eastAsia="宋体" w:cs="宋体"/>
          <w:color w:val="auto"/>
          <w:kern w:val="2"/>
          <w:sz w:val="24"/>
          <w:szCs w:val="24"/>
          <w:highlight w:val="none"/>
          <w:lang w:val="en-US" w:eastAsia="zh-CN" w:bidi="ar-SA"/>
        </w:rPr>
      </w:pPr>
    </w:p>
    <w:p w14:paraId="455E851D">
      <w:pPr>
        <w:pStyle w:val="22"/>
        <w:rPr>
          <w:rFonts w:hint="eastAsia" w:ascii="宋体" w:hAnsi="宋体" w:eastAsia="宋体" w:cs="宋体"/>
          <w:color w:val="auto"/>
          <w:kern w:val="2"/>
          <w:sz w:val="24"/>
          <w:szCs w:val="24"/>
          <w:highlight w:val="none"/>
          <w:lang w:val="en-US" w:eastAsia="zh-CN" w:bidi="ar-SA"/>
        </w:rPr>
      </w:pPr>
    </w:p>
    <w:p w14:paraId="08C009B5">
      <w:pPr>
        <w:wordWrap/>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注：1、请</w:t>
      </w:r>
      <w:r>
        <w:rPr>
          <w:rFonts w:hint="eastAsia" w:ascii="宋体" w:hAnsi="宋体" w:eastAsia="宋体" w:cs="宋体"/>
          <w:color w:val="auto"/>
          <w:kern w:val="2"/>
          <w:sz w:val="24"/>
          <w:szCs w:val="24"/>
          <w:highlight w:val="none"/>
          <w:lang w:val="en-GB" w:eastAsia="zh-CN" w:bidi="ar-SA"/>
        </w:rPr>
        <w:t>投标人在“是否响应”栏内根据响应情况填写“满足、或负偏离、或正偏离”，负偏离或正偏离请在“偏离说明”栏内扼要说明偏离情况。</w:t>
      </w:r>
    </w:p>
    <w:p w14:paraId="34176F93">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若投标人未提供或未填写本表，均视作完全响应招标文件要求。</w:t>
      </w:r>
    </w:p>
    <w:p w14:paraId="35EC4747">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4537021A">
      <w:pPr>
        <w:adjustRightInd w:val="0"/>
        <w:snapToGrid w:val="0"/>
        <w:spacing w:line="360" w:lineRule="auto"/>
        <w:ind w:firstLine="480" w:firstLineChars="20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投标人（盖公章）：</w:t>
      </w:r>
    </w:p>
    <w:p w14:paraId="1D065F32">
      <w:pPr>
        <w:adjustRightInd w:val="0"/>
        <w:snapToGrid w:val="0"/>
        <w:spacing w:line="360" w:lineRule="auto"/>
        <w:ind w:firstLine="480" w:firstLineChars="20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法定代表人</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负责人</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rPr>
        <w:t>或其委托代理人（签字或盖章）：</w:t>
      </w:r>
    </w:p>
    <w:p w14:paraId="64176080">
      <w:pPr>
        <w:pStyle w:val="5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 xml:space="preserve">      年    月    日</w:t>
      </w:r>
    </w:p>
    <w:p w14:paraId="46B80C82">
      <w:pPr>
        <w:pStyle w:val="50"/>
        <w:adjustRightInd w:val="0"/>
        <w:snapToGrid w:val="0"/>
        <w:spacing w:line="360" w:lineRule="auto"/>
        <w:rPr>
          <w:rFonts w:hint="eastAsia" w:ascii="宋体" w:hAnsi="宋体" w:eastAsia="宋体" w:cs="宋体"/>
          <w:color w:val="auto"/>
          <w:sz w:val="24"/>
          <w:szCs w:val="24"/>
          <w:highlight w:val="none"/>
        </w:rPr>
      </w:pPr>
    </w:p>
    <w:p w14:paraId="7DA43D35">
      <w:pPr>
        <w:pStyle w:val="32"/>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br w:type="page"/>
      </w:r>
    </w:p>
    <w:p w14:paraId="55FC896E">
      <w:pPr>
        <w:pStyle w:val="4"/>
        <w:jc w:val="center"/>
        <w:rPr>
          <w:rFonts w:hint="eastAsia" w:ascii="宋体" w:hAnsi="宋体" w:eastAsia="宋体" w:cs="宋体"/>
          <w:bCs w:val="0"/>
          <w:color w:val="auto"/>
          <w:sz w:val="24"/>
          <w:szCs w:val="24"/>
          <w:highlight w:val="none"/>
          <w:lang w:val="zh-CN"/>
        </w:rPr>
      </w:pPr>
      <w:r>
        <w:rPr>
          <w:rFonts w:hint="eastAsia" w:ascii="宋体" w:hAnsi="宋体" w:eastAsia="宋体" w:cs="宋体"/>
          <w:bCs w:val="0"/>
          <w:color w:val="auto"/>
          <w:sz w:val="24"/>
          <w:szCs w:val="24"/>
          <w:highlight w:val="none"/>
          <w:lang w:val="en-US" w:eastAsia="zh-CN"/>
        </w:rPr>
        <w:t>五</w:t>
      </w:r>
      <w:r>
        <w:rPr>
          <w:rFonts w:hint="eastAsia" w:ascii="宋体" w:hAnsi="宋体" w:eastAsia="宋体" w:cs="宋体"/>
          <w:bCs w:val="0"/>
          <w:color w:val="auto"/>
          <w:sz w:val="24"/>
          <w:szCs w:val="24"/>
          <w:highlight w:val="none"/>
        </w:rPr>
        <w:t>、</w:t>
      </w:r>
      <w:r>
        <w:rPr>
          <w:rFonts w:hint="eastAsia" w:ascii="宋体" w:hAnsi="宋体" w:eastAsia="宋体" w:cs="宋体"/>
          <w:bCs w:val="0"/>
          <w:color w:val="auto"/>
          <w:sz w:val="24"/>
          <w:szCs w:val="24"/>
          <w:highlight w:val="none"/>
          <w:lang w:val="zh-CN"/>
        </w:rPr>
        <w:t>优惠条件及特殊承诺</w:t>
      </w:r>
    </w:p>
    <w:p w14:paraId="4B88E5E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（由投标人根据招标需求自行编制）</w:t>
      </w:r>
    </w:p>
    <w:p w14:paraId="315BFA37">
      <w:pPr>
        <w:spacing w:line="360" w:lineRule="auto"/>
        <w:jc w:val="center"/>
        <w:rPr>
          <w:rFonts w:hint="eastAsia" w:ascii="宋体" w:hAnsi="宋体" w:eastAsia="宋体" w:cs="宋体"/>
          <w:color w:val="auto"/>
          <w:sz w:val="24"/>
          <w:szCs w:val="24"/>
          <w:highlight w:val="none"/>
        </w:rPr>
      </w:pPr>
    </w:p>
    <w:p w14:paraId="060FEDD3">
      <w:pPr>
        <w:pStyle w:val="10"/>
        <w:spacing w:line="360" w:lineRule="auto"/>
        <w:rPr>
          <w:rFonts w:hint="eastAsia" w:ascii="宋体" w:hAnsi="宋体" w:eastAsia="宋体" w:cs="宋体"/>
          <w:color w:val="auto"/>
          <w:sz w:val="24"/>
          <w:szCs w:val="24"/>
          <w:highlight w:val="none"/>
        </w:rPr>
      </w:pPr>
    </w:p>
    <w:p w14:paraId="5524F96C">
      <w:pPr>
        <w:pStyle w:val="10"/>
        <w:spacing w:line="360" w:lineRule="auto"/>
        <w:rPr>
          <w:rFonts w:hint="eastAsia" w:ascii="宋体" w:hAnsi="宋体" w:eastAsia="宋体" w:cs="宋体"/>
          <w:color w:val="auto"/>
          <w:sz w:val="24"/>
          <w:szCs w:val="24"/>
          <w:highlight w:val="none"/>
        </w:rPr>
      </w:pPr>
    </w:p>
    <w:p w14:paraId="60C04E08">
      <w:pPr>
        <w:pStyle w:val="10"/>
        <w:spacing w:line="360" w:lineRule="auto"/>
        <w:rPr>
          <w:rFonts w:hint="eastAsia" w:ascii="宋体" w:hAnsi="宋体" w:eastAsia="宋体" w:cs="宋体"/>
          <w:color w:val="auto"/>
          <w:sz w:val="24"/>
          <w:szCs w:val="24"/>
          <w:highlight w:val="none"/>
        </w:rPr>
      </w:pPr>
    </w:p>
    <w:p w14:paraId="6C3C713D">
      <w:pPr>
        <w:pStyle w:val="10"/>
        <w:spacing w:line="360" w:lineRule="auto"/>
        <w:rPr>
          <w:rFonts w:hint="eastAsia" w:ascii="宋体" w:hAnsi="宋体" w:eastAsia="宋体" w:cs="宋体"/>
          <w:color w:val="auto"/>
          <w:sz w:val="24"/>
          <w:szCs w:val="24"/>
          <w:highlight w:val="none"/>
        </w:rPr>
      </w:pPr>
    </w:p>
    <w:p w14:paraId="2D31E4BA">
      <w:pPr>
        <w:pStyle w:val="10"/>
        <w:spacing w:line="360" w:lineRule="auto"/>
        <w:rPr>
          <w:rFonts w:hint="eastAsia" w:ascii="宋体" w:hAnsi="宋体" w:eastAsia="宋体" w:cs="宋体"/>
          <w:color w:val="auto"/>
          <w:sz w:val="24"/>
          <w:szCs w:val="24"/>
          <w:highlight w:val="none"/>
        </w:rPr>
      </w:pPr>
    </w:p>
    <w:p w14:paraId="6E57FFAF">
      <w:pPr>
        <w:pStyle w:val="10"/>
        <w:spacing w:line="360" w:lineRule="auto"/>
        <w:rPr>
          <w:rFonts w:hint="eastAsia" w:ascii="宋体" w:hAnsi="宋体" w:eastAsia="宋体" w:cs="宋体"/>
          <w:color w:val="auto"/>
          <w:sz w:val="24"/>
          <w:szCs w:val="24"/>
          <w:highlight w:val="none"/>
        </w:rPr>
      </w:pPr>
    </w:p>
    <w:p w14:paraId="1434EB34">
      <w:pPr>
        <w:pStyle w:val="10"/>
        <w:spacing w:line="360" w:lineRule="auto"/>
        <w:rPr>
          <w:rFonts w:hint="eastAsia" w:ascii="宋体" w:hAnsi="宋体" w:eastAsia="宋体" w:cs="宋体"/>
          <w:color w:val="auto"/>
          <w:sz w:val="24"/>
          <w:szCs w:val="24"/>
          <w:highlight w:val="none"/>
        </w:rPr>
      </w:pPr>
    </w:p>
    <w:p w14:paraId="7CC687F7">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投标人（盖公章）：</w:t>
      </w:r>
    </w:p>
    <w:p w14:paraId="567E46A0">
      <w:pPr>
        <w:pStyle w:val="1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sz w:val="24"/>
          <w:szCs w:val="24"/>
          <w:highlight w:val="none"/>
        </w:rPr>
        <w:t>或其委托代理人（签字或盖章）：</w:t>
      </w:r>
    </w:p>
    <w:p w14:paraId="23FB4FD8">
      <w:pPr>
        <w:pStyle w:val="51"/>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年    月    日</w:t>
      </w:r>
    </w:p>
    <w:p w14:paraId="36014C0F">
      <w:pPr>
        <w:snapToGrid w:val="0"/>
        <w:spacing w:line="360" w:lineRule="auto"/>
        <w:jc w:val="center"/>
        <w:outlineLvl w:val="1"/>
        <w:rPr>
          <w:rFonts w:hint="eastAsia" w:ascii="宋体" w:hAnsi="宋体" w:eastAsia="宋体" w:cs="宋体"/>
          <w:b/>
          <w:bCs/>
          <w:color w:val="auto"/>
          <w:sz w:val="24"/>
          <w:szCs w:val="24"/>
          <w:highlight w:val="none"/>
        </w:rPr>
      </w:pPr>
    </w:p>
    <w:p w14:paraId="2C121876">
      <w:pPr>
        <w:pStyle w:val="56"/>
        <w:numPr>
          <w:ilvl w:val="0"/>
          <w:numId w:val="9"/>
        </w:numPr>
        <w:wordWrap w:val="0"/>
        <w:ind w:firstLine="720"/>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Cs w:val="0"/>
          <w:color w:val="auto"/>
          <w:sz w:val="24"/>
          <w:szCs w:val="24"/>
          <w:highlight w:val="none"/>
        </w:rPr>
        <w:br w:type="page"/>
      </w:r>
      <w:r>
        <w:rPr>
          <w:rFonts w:hint="eastAsia" w:ascii="宋体" w:hAnsi="宋体" w:eastAsia="宋体" w:cs="宋体"/>
          <w:b/>
          <w:color w:val="auto"/>
          <w:sz w:val="28"/>
          <w:szCs w:val="28"/>
          <w:highlight w:val="none"/>
          <w:lang w:val="en-US" w:eastAsia="zh-CN"/>
        </w:rPr>
        <w:t>承诺函</w:t>
      </w:r>
    </w:p>
    <w:p w14:paraId="000D7AFD">
      <w:pPr>
        <w:pStyle w:val="56"/>
        <w:numPr>
          <w:ilvl w:val="-1"/>
          <w:numId w:val="0"/>
        </w:numPr>
        <w:wordWrap w:val="0"/>
        <w:ind w:firstLine="0"/>
        <w:jc w:val="both"/>
        <w:rPr>
          <w:rFonts w:hint="eastAsia" w:ascii="宋体" w:hAnsi="宋体" w:eastAsia="宋体" w:cs="宋体"/>
          <w:b/>
          <w:color w:val="auto"/>
          <w:sz w:val="28"/>
          <w:szCs w:val="28"/>
          <w:highlight w:val="none"/>
          <w:lang w:val="en-US"/>
        </w:rPr>
      </w:pPr>
    </w:p>
    <w:p w14:paraId="6725CB5E">
      <w:pPr>
        <w:pStyle w:val="10"/>
        <w:wordWrap w:val="0"/>
        <w:spacing w:line="360" w:lineRule="auto"/>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u w:val="single"/>
          <w:lang w:val="en-US" w:eastAsia="zh-CN" w:bidi="ar-SA"/>
        </w:rPr>
        <w:t>杭州市环境集团有限公司、杭州萧山环城生物能源有限公司、杭州环临环境发展有限公司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6AC31BA">
      <w:pPr>
        <w:wordWrap w:val="0"/>
        <w:snapToGrid w:val="0"/>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承诺若中标后所供</w:t>
      </w:r>
      <w:r>
        <w:rPr>
          <w:rFonts w:hint="eastAsia" w:ascii="宋体" w:hAnsi="宋体" w:eastAsia="宋体" w:cs="宋体"/>
          <w:color w:val="auto"/>
          <w:sz w:val="24"/>
          <w:szCs w:val="24"/>
          <w:highlight w:val="none"/>
          <w:lang w:val="en-US" w:eastAsia="zh-CN"/>
        </w:rPr>
        <w:t>片碱</w:t>
      </w:r>
      <w:r>
        <w:rPr>
          <w:rFonts w:hint="eastAsia" w:ascii="宋体" w:hAnsi="宋体" w:eastAsia="宋体" w:cs="宋体"/>
          <w:color w:val="auto"/>
          <w:sz w:val="24"/>
          <w:szCs w:val="24"/>
          <w:highlight w:val="none"/>
        </w:rPr>
        <w:t>的生产厂家与投标时的生产或授权厂家完全一致，如投标文件中方案描述与该条款要求冲突，以此承诺函为准。</w:t>
      </w:r>
    </w:p>
    <w:p w14:paraId="114025BE">
      <w:pPr>
        <w:wordWrap w:val="0"/>
        <w:snapToGrid w:val="0"/>
        <w:spacing w:line="390" w:lineRule="exact"/>
        <w:ind w:firstLine="480" w:firstLineChars="200"/>
        <w:rPr>
          <w:rFonts w:hint="eastAsia" w:ascii="宋体" w:hAnsi="宋体" w:eastAsia="宋体" w:cs="宋体"/>
          <w:color w:val="auto"/>
          <w:sz w:val="24"/>
          <w:szCs w:val="24"/>
          <w:highlight w:val="none"/>
        </w:rPr>
      </w:pPr>
    </w:p>
    <w:p w14:paraId="433119AB">
      <w:pPr>
        <w:wordWrap w:val="0"/>
        <w:snapToGrid w:val="0"/>
        <w:spacing w:line="39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投标人名称（盖公章）：  </w:t>
      </w:r>
    </w:p>
    <w:p w14:paraId="02708292">
      <w:pPr>
        <w:pStyle w:val="10"/>
        <w:wordWrap w:val="0"/>
        <w:spacing w:line="4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法定代表人或其委托代理人（签字或盖章）：</w:t>
      </w:r>
    </w:p>
    <w:p w14:paraId="0FA14BBC">
      <w:pPr>
        <w:pStyle w:val="10"/>
        <w:wordWrap w:val="0"/>
        <w:spacing w:line="400" w:lineRule="exact"/>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日</w:t>
      </w:r>
    </w:p>
    <w:p w14:paraId="6DB10C76">
      <w:pP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14:paraId="56B5633C">
      <w:pPr>
        <w:pStyle w:val="10"/>
        <w:wordWrap w:val="0"/>
        <w:spacing w:line="400" w:lineRule="exact"/>
        <w:ind w:firstLine="480" w:firstLineChars="200"/>
        <w:rPr>
          <w:rFonts w:hint="eastAsia" w:ascii="宋体" w:hAnsi="宋体" w:eastAsia="宋体" w:cs="宋体"/>
          <w:color w:val="auto"/>
          <w:sz w:val="24"/>
          <w:szCs w:val="24"/>
          <w:highlight w:val="none"/>
          <w:lang w:val="en-GB"/>
        </w:rPr>
      </w:pPr>
    </w:p>
    <w:p w14:paraId="6F42456B">
      <w:pPr>
        <w:pStyle w:val="4"/>
        <w:jc w:val="both"/>
        <w:rPr>
          <w:rFonts w:hint="eastAsia" w:ascii="宋体" w:hAnsi="宋体" w:eastAsia="宋体" w:cs="宋体"/>
          <w:color w:val="auto"/>
          <w:sz w:val="24"/>
          <w:szCs w:val="24"/>
          <w:highlight w:val="none"/>
        </w:rPr>
      </w:pPr>
    </w:p>
    <w:p w14:paraId="4F33A026">
      <w:pPr>
        <w:pStyle w:val="4"/>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第三部分、资信文件</w:t>
      </w:r>
      <w:bookmarkEnd w:id="103"/>
      <w:bookmarkEnd w:id="104"/>
    </w:p>
    <w:p w14:paraId="18CAAA01">
      <w:pPr>
        <w:pStyle w:val="4"/>
        <w:jc w:val="center"/>
        <w:rPr>
          <w:rFonts w:hint="eastAsia" w:ascii="宋体" w:hAnsi="宋体" w:eastAsia="宋体" w:cs="宋体"/>
          <w:color w:val="auto"/>
          <w:sz w:val="24"/>
          <w:szCs w:val="24"/>
          <w:highlight w:val="none"/>
        </w:rPr>
      </w:pPr>
      <w:bookmarkStart w:id="105" w:name="_Toc31736"/>
      <w:r>
        <w:rPr>
          <w:rFonts w:hint="eastAsia" w:ascii="宋体" w:hAnsi="宋体" w:eastAsia="宋体" w:cs="宋体"/>
          <w:color w:val="auto"/>
          <w:sz w:val="24"/>
          <w:szCs w:val="24"/>
          <w:highlight w:val="none"/>
        </w:rPr>
        <w:t>一、投标人基本情况表</w:t>
      </w:r>
      <w:bookmarkEnd w:id="105"/>
    </w:p>
    <w:tbl>
      <w:tblPr>
        <w:tblStyle w:val="24"/>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14:paraId="4191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08682AEA">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370" w:type="dxa"/>
            <w:gridSpan w:val="7"/>
            <w:noWrap w:val="0"/>
            <w:vAlign w:val="center"/>
          </w:tcPr>
          <w:p w14:paraId="3E712E2F">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790F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22AE99D8">
            <w:pPr>
              <w:pStyle w:val="50"/>
              <w:keepNext w:val="0"/>
              <w:keepLines w:val="0"/>
              <w:suppressLineNumbers w:val="0"/>
              <w:spacing w:before="0" w:beforeAutospacing="0" w:after="0" w:afterAutospacing="0"/>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营业执照（事业单位法人证书等）</w:t>
            </w:r>
          </w:p>
        </w:tc>
      </w:tr>
      <w:tr w14:paraId="442B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3A37B15A">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2697" w:type="dxa"/>
            <w:gridSpan w:val="3"/>
            <w:noWrap w:val="0"/>
            <w:vAlign w:val="center"/>
          </w:tcPr>
          <w:p w14:paraId="74CED1C7">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3" w:type="dxa"/>
            <w:gridSpan w:val="2"/>
            <w:noWrap w:val="0"/>
            <w:vAlign w:val="center"/>
          </w:tcPr>
          <w:p w14:paraId="255DD095">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2870" w:type="dxa"/>
            <w:gridSpan w:val="2"/>
            <w:noWrap w:val="0"/>
            <w:vAlign w:val="center"/>
          </w:tcPr>
          <w:p w14:paraId="145A204F">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1F30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52CA6F98">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发照机关</w:t>
            </w:r>
          </w:p>
        </w:tc>
        <w:tc>
          <w:tcPr>
            <w:tcW w:w="2697" w:type="dxa"/>
            <w:gridSpan w:val="3"/>
            <w:noWrap w:val="0"/>
            <w:vAlign w:val="center"/>
          </w:tcPr>
          <w:p w14:paraId="1691E3DE">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3" w:type="dxa"/>
            <w:gridSpan w:val="2"/>
            <w:noWrap w:val="0"/>
            <w:vAlign w:val="center"/>
          </w:tcPr>
          <w:p w14:paraId="5996870F">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2870" w:type="dxa"/>
            <w:gridSpan w:val="2"/>
            <w:noWrap w:val="0"/>
            <w:vAlign w:val="center"/>
          </w:tcPr>
          <w:p w14:paraId="22F242B5">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2075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7CCCF7A0">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697" w:type="dxa"/>
            <w:gridSpan w:val="3"/>
            <w:noWrap w:val="0"/>
            <w:vAlign w:val="center"/>
          </w:tcPr>
          <w:p w14:paraId="4E492317">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3" w:type="dxa"/>
            <w:gridSpan w:val="2"/>
            <w:noWrap w:val="0"/>
            <w:vAlign w:val="center"/>
          </w:tcPr>
          <w:p w14:paraId="66B472EE">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p>
        </w:tc>
        <w:tc>
          <w:tcPr>
            <w:tcW w:w="2870" w:type="dxa"/>
            <w:gridSpan w:val="2"/>
            <w:noWrap w:val="0"/>
            <w:vAlign w:val="center"/>
          </w:tcPr>
          <w:p w14:paraId="089B96D6">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0D9D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44137BDF">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7370" w:type="dxa"/>
            <w:gridSpan w:val="7"/>
            <w:noWrap w:val="0"/>
            <w:vAlign w:val="center"/>
          </w:tcPr>
          <w:p w14:paraId="31DEB7CF">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0218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26CB3338">
            <w:pPr>
              <w:pStyle w:val="50"/>
              <w:keepNext w:val="0"/>
              <w:keepLines w:val="0"/>
              <w:suppressLineNumbers w:val="0"/>
              <w:spacing w:before="0" w:beforeAutospacing="0" w:after="0" w:afterAutospacing="0"/>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单位资质</w:t>
            </w:r>
          </w:p>
        </w:tc>
      </w:tr>
      <w:tr w14:paraId="7FBE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25CFB01F">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单位资质等级</w:t>
            </w:r>
          </w:p>
        </w:tc>
        <w:tc>
          <w:tcPr>
            <w:tcW w:w="2697" w:type="dxa"/>
            <w:gridSpan w:val="3"/>
            <w:noWrap w:val="0"/>
            <w:vAlign w:val="center"/>
          </w:tcPr>
          <w:p w14:paraId="60B952FD">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3" w:type="dxa"/>
            <w:gridSpan w:val="2"/>
            <w:noWrap w:val="0"/>
            <w:vAlign w:val="center"/>
          </w:tcPr>
          <w:p w14:paraId="6AC475E2">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证书编号</w:t>
            </w:r>
          </w:p>
        </w:tc>
        <w:tc>
          <w:tcPr>
            <w:tcW w:w="2870" w:type="dxa"/>
            <w:gridSpan w:val="2"/>
            <w:noWrap w:val="0"/>
            <w:vAlign w:val="center"/>
          </w:tcPr>
          <w:p w14:paraId="3C7EF775">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18AD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noWrap w:val="0"/>
            <w:vAlign w:val="center"/>
          </w:tcPr>
          <w:p w14:paraId="3F52FE85">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发证机关</w:t>
            </w:r>
          </w:p>
        </w:tc>
        <w:tc>
          <w:tcPr>
            <w:tcW w:w="2697" w:type="dxa"/>
            <w:gridSpan w:val="3"/>
            <w:noWrap w:val="0"/>
            <w:vAlign w:val="center"/>
          </w:tcPr>
          <w:p w14:paraId="32CFFEF4">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3" w:type="dxa"/>
            <w:gridSpan w:val="2"/>
            <w:noWrap w:val="0"/>
            <w:vAlign w:val="center"/>
          </w:tcPr>
          <w:p w14:paraId="364FBD1A">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业务范围</w:t>
            </w:r>
          </w:p>
        </w:tc>
        <w:tc>
          <w:tcPr>
            <w:tcW w:w="2870" w:type="dxa"/>
            <w:gridSpan w:val="2"/>
            <w:noWrap w:val="0"/>
            <w:vAlign w:val="center"/>
          </w:tcPr>
          <w:p w14:paraId="479912F9">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03B8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5AF519A7">
            <w:pPr>
              <w:pStyle w:val="50"/>
              <w:keepNext w:val="0"/>
              <w:keepLines w:val="0"/>
              <w:suppressLineNumbers w:val="0"/>
              <w:spacing w:before="0" w:beforeAutospacing="0" w:after="0" w:afterAutospacing="0"/>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领导层构成情况</w:t>
            </w:r>
          </w:p>
        </w:tc>
      </w:tr>
      <w:tr w14:paraId="17ED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40DD723B">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3"/>
            <w:noWrap w:val="0"/>
            <w:vAlign w:val="center"/>
          </w:tcPr>
          <w:p w14:paraId="0B6AE376">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914" w:type="dxa"/>
            <w:gridSpan w:val="2"/>
            <w:noWrap w:val="0"/>
            <w:vAlign w:val="center"/>
          </w:tcPr>
          <w:p w14:paraId="2D171937">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914" w:type="dxa"/>
            <w:gridSpan w:val="2"/>
            <w:noWrap w:val="0"/>
            <w:vAlign w:val="center"/>
          </w:tcPr>
          <w:p w14:paraId="6055ABCB">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802" w:type="dxa"/>
            <w:noWrap w:val="0"/>
            <w:vAlign w:val="center"/>
          </w:tcPr>
          <w:p w14:paraId="1BD9CAFC">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r>
      <w:tr w14:paraId="4055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541FBE30">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914" w:type="dxa"/>
            <w:gridSpan w:val="3"/>
            <w:noWrap w:val="0"/>
            <w:vAlign w:val="center"/>
          </w:tcPr>
          <w:p w14:paraId="40771317">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5C09B0B7">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36E999BE">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2" w:type="dxa"/>
            <w:noWrap w:val="0"/>
            <w:vAlign w:val="center"/>
          </w:tcPr>
          <w:p w14:paraId="04F6EE55">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65188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2C99AD03">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p>
        </w:tc>
        <w:tc>
          <w:tcPr>
            <w:tcW w:w="1914" w:type="dxa"/>
            <w:gridSpan w:val="3"/>
            <w:noWrap w:val="0"/>
            <w:vAlign w:val="center"/>
          </w:tcPr>
          <w:p w14:paraId="1B334AB7">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2FCB8734">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19993304">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2" w:type="dxa"/>
            <w:noWrap w:val="0"/>
            <w:vAlign w:val="center"/>
          </w:tcPr>
          <w:p w14:paraId="3AF6B374">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3130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0B09F319">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3"/>
            <w:noWrap w:val="0"/>
            <w:vAlign w:val="center"/>
          </w:tcPr>
          <w:p w14:paraId="0AEA7769">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2E580510">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17DABD4A">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2" w:type="dxa"/>
            <w:noWrap w:val="0"/>
            <w:vAlign w:val="center"/>
          </w:tcPr>
          <w:p w14:paraId="13C3D677">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53FF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0199A0F5">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3"/>
            <w:noWrap w:val="0"/>
            <w:vAlign w:val="center"/>
          </w:tcPr>
          <w:p w14:paraId="269A6A4F">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006CBB96">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7006551D">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2" w:type="dxa"/>
            <w:noWrap w:val="0"/>
            <w:vAlign w:val="center"/>
          </w:tcPr>
          <w:p w14:paraId="4E1548E1">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74E9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1D4B4D44">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3"/>
            <w:noWrap w:val="0"/>
            <w:vAlign w:val="center"/>
          </w:tcPr>
          <w:p w14:paraId="41AE9D9F">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680A42E0">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7FADC86D">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2" w:type="dxa"/>
            <w:noWrap w:val="0"/>
            <w:vAlign w:val="center"/>
          </w:tcPr>
          <w:p w14:paraId="291DE856">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59D9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52E1EFD5">
            <w:pPr>
              <w:pStyle w:val="50"/>
              <w:keepNext w:val="0"/>
              <w:keepLines w:val="0"/>
              <w:suppressLineNumbers w:val="0"/>
              <w:spacing w:before="0" w:beforeAutospacing="0" w:after="0" w:afterAutospacing="0"/>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人员职称构成情况</w:t>
            </w:r>
          </w:p>
        </w:tc>
      </w:tr>
      <w:tr w14:paraId="1110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noWrap w:val="0"/>
            <w:vAlign w:val="center"/>
          </w:tcPr>
          <w:p w14:paraId="791ED2E7">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人员总数</w:t>
            </w:r>
          </w:p>
        </w:tc>
        <w:tc>
          <w:tcPr>
            <w:tcW w:w="1914" w:type="dxa"/>
            <w:gridSpan w:val="3"/>
            <w:noWrap w:val="0"/>
            <w:vAlign w:val="center"/>
          </w:tcPr>
          <w:p w14:paraId="035B996C">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w:t>
            </w:r>
          </w:p>
        </w:tc>
        <w:tc>
          <w:tcPr>
            <w:tcW w:w="1914" w:type="dxa"/>
            <w:gridSpan w:val="2"/>
            <w:noWrap w:val="0"/>
            <w:vAlign w:val="center"/>
          </w:tcPr>
          <w:p w14:paraId="52AFB740">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w:t>
            </w:r>
          </w:p>
        </w:tc>
        <w:tc>
          <w:tcPr>
            <w:tcW w:w="1914" w:type="dxa"/>
            <w:gridSpan w:val="2"/>
            <w:noWrap w:val="0"/>
            <w:vAlign w:val="center"/>
          </w:tcPr>
          <w:p w14:paraId="12A0BA6A">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w:t>
            </w:r>
          </w:p>
        </w:tc>
        <w:tc>
          <w:tcPr>
            <w:tcW w:w="1802" w:type="dxa"/>
            <w:noWrap w:val="0"/>
            <w:vAlign w:val="center"/>
          </w:tcPr>
          <w:p w14:paraId="02DA1FC2">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r>
      <w:tr w14:paraId="6E5A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4" w:type="dxa"/>
            <w:noWrap w:val="0"/>
            <w:vAlign w:val="center"/>
          </w:tcPr>
          <w:p w14:paraId="357A82E5">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3"/>
            <w:noWrap w:val="0"/>
            <w:vAlign w:val="center"/>
          </w:tcPr>
          <w:p w14:paraId="37EBAE16">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291BE865">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460415A2">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2" w:type="dxa"/>
            <w:noWrap w:val="0"/>
            <w:vAlign w:val="center"/>
          </w:tcPr>
          <w:p w14:paraId="7CA86C68">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14:paraId="5FE1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noWrap w:val="0"/>
            <w:vAlign w:val="center"/>
          </w:tcPr>
          <w:p w14:paraId="23A34E80">
            <w:pPr>
              <w:pStyle w:val="50"/>
              <w:keepNext w:val="0"/>
              <w:keepLines w:val="0"/>
              <w:suppressLineNumbers w:val="0"/>
              <w:spacing w:before="0" w:beforeAutospacing="0" w:after="0" w:afterAutospacing="0"/>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近5年营业额情况（万元）</w:t>
            </w:r>
          </w:p>
        </w:tc>
      </w:tr>
      <w:tr w14:paraId="2C9C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14:paraId="64AAE722">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年</w:t>
            </w:r>
          </w:p>
        </w:tc>
        <w:tc>
          <w:tcPr>
            <w:tcW w:w="1660" w:type="dxa"/>
            <w:noWrap w:val="0"/>
            <w:vAlign w:val="center"/>
          </w:tcPr>
          <w:p w14:paraId="7FF7DCF0">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年</w:t>
            </w:r>
          </w:p>
        </w:tc>
        <w:tc>
          <w:tcPr>
            <w:tcW w:w="1914" w:type="dxa"/>
            <w:gridSpan w:val="2"/>
            <w:noWrap w:val="0"/>
            <w:vAlign w:val="center"/>
          </w:tcPr>
          <w:p w14:paraId="1659BA0E">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年</w:t>
            </w:r>
          </w:p>
        </w:tc>
        <w:tc>
          <w:tcPr>
            <w:tcW w:w="1914" w:type="dxa"/>
            <w:gridSpan w:val="2"/>
            <w:noWrap w:val="0"/>
            <w:vAlign w:val="center"/>
          </w:tcPr>
          <w:p w14:paraId="5CC02A1B">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年</w:t>
            </w:r>
          </w:p>
        </w:tc>
        <w:tc>
          <w:tcPr>
            <w:tcW w:w="1802" w:type="dxa"/>
            <w:noWrap w:val="0"/>
            <w:vAlign w:val="center"/>
          </w:tcPr>
          <w:p w14:paraId="38570F28">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  年</w:t>
            </w:r>
          </w:p>
        </w:tc>
      </w:tr>
      <w:tr w14:paraId="2503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noWrap w:val="0"/>
            <w:vAlign w:val="center"/>
          </w:tcPr>
          <w:p w14:paraId="7E56433D">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660" w:type="dxa"/>
            <w:noWrap w:val="0"/>
            <w:vAlign w:val="center"/>
          </w:tcPr>
          <w:p w14:paraId="7716FC90">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69C53C07">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914" w:type="dxa"/>
            <w:gridSpan w:val="2"/>
            <w:noWrap w:val="0"/>
            <w:vAlign w:val="center"/>
          </w:tcPr>
          <w:p w14:paraId="5C85DE61">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1802" w:type="dxa"/>
            <w:noWrap w:val="0"/>
            <w:vAlign w:val="center"/>
          </w:tcPr>
          <w:p w14:paraId="04FCDE1D">
            <w:pPr>
              <w:pStyle w:val="50"/>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bl>
    <w:p w14:paraId="5FE619FA">
      <w:pPr>
        <w:pStyle w:val="50"/>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注：本表后应附相关证明材料的复印件并加盖公章。</w:t>
      </w:r>
    </w:p>
    <w:p w14:paraId="4098654C">
      <w:pPr>
        <w:pStyle w:val="50"/>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投标人（盖公章）：</w:t>
      </w:r>
    </w:p>
    <w:p w14:paraId="591D4CAE">
      <w:pPr>
        <w:pStyle w:val="50"/>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sz w:val="24"/>
          <w:szCs w:val="24"/>
          <w:highlight w:val="none"/>
        </w:rPr>
        <w:t>或其委托代理人（签字或盖章）：</w:t>
      </w:r>
    </w:p>
    <w:p w14:paraId="068E7B2E">
      <w:pPr>
        <w:pStyle w:val="5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 xml:space="preserve">      年    月    日</w:t>
      </w:r>
    </w:p>
    <w:p w14:paraId="4A0F0A52">
      <w:pPr>
        <w:snapToGrid w:val="0"/>
        <w:spacing w:line="360" w:lineRule="auto"/>
        <w:jc w:val="center"/>
        <w:outlineLvl w:val="1"/>
        <w:rPr>
          <w:rFonts w:hint="eastAsia" w:ascii="宋体" w:hAnsi="宋体" w:eastAsia="宋体" w:cs="宋体"/>
          <w:color w:val="auto"/>
          <w:sz w:val="24"/>
          <w:szCs w:val="24"/>
          <w:highlight w:val="none"/>
        </w:rPr>
      </w:pPr>
      <w:bookmarkStart w:id="106" w:name="_Toc24517"/>
    </w:p>
    <w:p w14:paraId="6D3222FE">
      <w:pPr>
        <w:snapToGrid w:val="0"/>
        <w:spacing w:line="360" w:lineRule="auto"/>
        <w:jc w:val="center"/>
        <w:outlineLvl w:val="1"/>
        <w:rPr>
          <w:rFonts w:hint="eastAsia" w:ascii="宋体" w:hAnsi="宋体" w:eastAsia="宋体" w:cs="宋体"/>
          <w:color w:val="auto"/>
          <w:sz w:val="24"/>
          <w:szCs w:val="24"/>
          <w:highlight w:val="none"/>
        </w:rPr>
      </w:pPr>
    </w:p>
    <w:p w14:paraId="480F3F64">
      <w:pPr>
        <w:snapToGrid w:val="0"/>
        <w:spacing w:line="360" w:lineRule="auto"/>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bookmarkEnd w:id="106"/>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投标人</w:t>
      </w:r>
      <w:r>
        <w:rPr>
          <w:rFonts w:hint="eastAsia" w:ascii="宋体" w:hAnsi="宋体" w:eastAsia="宋体" w:cs="宋体"/>
          <w:b/>
          <w:bCs/>
          <w:color w:val="auto"/>
          <w:sz w:val="24"/>
          <w:szCs w:val="24"/>
          <w:highlight w:val="none"/>
          <w:lang w:val="en-US" w:eastAsia="zh-CN"/>
        </w:rPr>
        <w:t>业绩</w:t>
      </w:r>
      <w:r>
        <w:rPr>
          <w:rFonts w:hint="eastAsia" w:ascii="宋体" w:hAnsi="宋体" w:eastAsia="宋体" w:cs="宋体"/>
          <w:b/>
          <w:bCs/>
          <w:color w:val="auto"/>
          <w:sz w:val="24"/>
          <w:szCs w:val="24"/>
          <w:highlight w:val="none"/>
        </w:rPr>
        <w:t>情况表</w:t>
      </w:r>
    </w:p>
    <w:tbl>
      <w:tblPr>
        <w:tblStyle w:val="24"/>
        <w:tblW w:w="9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7"/>
        <w:gridCol w:w="1134"/>
        <w:gridCol w:w="1126"/>
        <w:gridCol w:w="1125"/>
        <w:gridCol w:w="850"/>
        <w:gridCol w:w="1134"/>
        <w:gridCol w:w="1152"/>
        <w:gridCol w:w="646"/>
      </w:tblGrid>
      <w:tr w14:paraId="346F7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14:paraId="698133E6">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17" w:type="dxa"/>
            <w:shd w:val="clear" w:color="auto" w:fill="auto"/>
            <w:noWrap w:val="0"/>
            <w:vAlign w:val="center"/>
          </w:tcPr>
          <w:p w14:paraId="73ABA616">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名称</w:t>
            </w:r>
          </w:p>
        </w:tc>
        <w:tc>
          <w:tcPr>
            <w:tcW w:w="1134" w:type="dxa"/>
            <w:shd w:val="clear" w:color="auto" w:fill="auto"/>
            <w:noWrap w:val="0"/>
            <w:vAlign w:val="center"/>
          </w:tcPr>
          <w:p w14:paraId="2B791321">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126" w:type="dxa"/>
            <w:shd w:val="clear" w:color="auto" w:fill="auto"/>
            <w:noWrap w:val="0"/>
            <w:vAlign w:val="center"/>
          </w:tcPr>
          <w:p w14:paraId="675F90DB">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tc>
        <w:tc>
          <w:tcPr>
            <w:tcW w:w="1125" w:type="dxa"/>
            <w:shd w:val="clear" w:color="auto" w:fill="auto"/>
            <w:noWrap w:val="0"/>
            <w:vAlign w:val="center"/>
          </w:tcPr>
          <w:p w14:paraId="5C691FF9">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p>
        </w:tc>
        <w:tc>
          <w:tcPr>
            <w:tcW w:w="850" w:type="dxa"/>
            <w:shd w:val="clear" w:color="auto" w:fill="auto"/>
            <w:noWrap w:val="0"/>
            <w:vAlign w:val="center"/>
          </w:tcPr>
          <w:p w14:paraId="1DCEC93E">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134" w:type="dxa"/>
            <w:shd w:val="clear" w:color="auto" w:fill="auto"/>
            <w:noWrap w:val="0"/>
            <w:vAlign w:val="center"/>
          </w:tcPr>
          <w:p w14:paraId="468EFBC0">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152" w:type="dxa"/>
            <w:shd w:val="clear" w:color="auto" w:fill="D9D9D9"/>
            <w:noWrap w:val="0"/>
            <w:vAlign w:val="center"/>
          </w:tcPr>
          <w:p w14:paraId="44D6A7A9">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合同证明文件所在页码</w:t>
            </w:r>
          </w:p>
        </w:tc>
        <w:tc>
          <w:tcPr>
            <w:tcW w:w="646" w:type="dxa"/>
            <w:noWrap w:val="0"/>
            <w:vAlign w:val="center"/>
          </w:tcPr>
          <w:p w14:paraId="69B3B712">
            <w:pPr>
              <w:keepNext w:val="0"/>
              <w:keepLines w:val="0"/>
              <w:suppressLineNumbers w:val="0"/>
              <w:adjustRightInd w:val="0"/>
              <w:snapToGrid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6C9D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14:paraId="2C4262F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417" w:type="dxa"/>
            <w:shd w:val="clear" w:color="auto" w:fill="auto"/>
            <w:noWrap w:val="0"/>
            <w:vAlign w:val="center"/>
          </w:tcPr>
          <w:p w14:paraId="0A1953F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2F4EFC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6" w:type="dxa"/>
            <w:shd w:val="clear" w:color="auto" w:fill="auto"/>
            <w:noWrap w:val="0"/>
            <w:vAlign w:val="center"/>
          </w:tcPr>
          <w:p w14:paraId="1DF7D4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5" w:type="dxa"/>
            <w:shd w:val="clear" w:color="auto" w:fill="auto"/>
            <w:noWrap w:val="0"/>
            <w:vAlign w:val="center"/>
          </w:tcPr>
          <w:p w14:paraId="15F5489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850" w:type="dxa"/>
            <w:shd w:val="clear" w:color="auto" w:fill="auto"/>
            <w:noWrap w:val="0"/>
            <w:vAlign w:val="center"/>
          </w:tcPr>
          <w:p w14:paraId="0C2BD3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5BD26C6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52" w:type="dxa"/>
            <w:shd w:val="clear" w:color="auto" w:fill="D9D9D9"/>
            <w:noWrap w:val="0"/>
            <w:vAlign w:val="center"/>
          </w:tcPr>
          <w:p w14:paraId="4ED7B9B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646" w:type="dxa"/>
            <w:noWrap w:val="0"/>
            <w:vAlign w:val="center"/>
          </w:tcPr>
          <w:p w14:paraId="5110148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5EA45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14:paraId="0B3ECD3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417" w:type="dxa"/>
            <w:shd w:val="clear" w:color="auto" w:fill="auto"/>
            <w:noWrap w:val="0"/>
            <w:vAlign w:val="center"/>
          </w:tcPr>
          <w:p w14:paraId="677132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414D222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6" w:type="dxa"/>
            <w:shd w:val="clear" w:color="auto" w:fill="auto"/>
            <w:noWrap w:val="0"/>
            <w:vAlign w:val="center"/>
          </w:tcPr>
          <w:p w14:paraId="39987C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5" w:type="dxa"/>
            <w:shd w:val="clear" w:color="auto" w:fill="auto"/>
            <w:noWrap w:val="0"/>
            <w:vAlign w:val="center"/>
          </w:tcPr>
          <w:p w14:paraId="0B65C9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850" w:type="dxa"/>
            <w:shd w:val="clear" w:color="auto" w:fill="auto"/>
            <w:noWrap w:val="0"/>
            <w:vAlign w:val="center"/>
          </w:tcPr>
          <w:p w14:paraId="72CB08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092E82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52" w:type="dxa"/>
            <w:shd w:val="clear" w:color="auto" w:fill="D9D9D9"/>
            <w:noWrap w:val="0"/>
            <w:vAlign w:val="center"/>
          </w:tcPr>
          <w:p w14:paraId="5498CA8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646" w:type="dxa"/>
            <w:noWrap w:val="0"/>
            <w:vAlign w:val="center"/>
          </w:tcPr>
          <w:p w14:paraId="6EF6614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4D525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14:paraId="5058C7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417" w:type="dxa"/>
            <w:shd w:val="clear" w:color="auto" w:fill="auto"/>
            <w:noWrap w:val="0"/>
            <w:vAlign w:val="center"/>
          </w:tcPr>
          <w:p w14:paraId="49CA60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2B73D0B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6" w:type="dxa"/>
            <w:shd w:val="clear" w:color="auto" w:fill="auto"/>
            <w:noWrap w:val="0"/>
            <w:vAlign w:val="center"/>
          </w:tcPr>
          <w:p w14:paraId="386E42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5" w:type="dxa"/>
            <w:shd w:val="clear" w:color="auto" w:fill="auto"/>
            <w:noWrap w:val="0"/>
            <w:vAlign w:val="center"/>
          </w:tcPr>
          <w:p w14:paraId="20AA35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850" w:type="dxa"/>
            <w:shd w:val="clear" w:color="auto" w:fill="auto"/>
            <w:noWrap w:val="0"/>
            <w:vAlign w:val="center"/>
          </w:tcPr>
          <w:p w14:paraId="04E028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330A50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52" w:type="dxa"/>
            <w:shd w:val="clear" w:color="auto" w:fill="D9D9D9"/>
            <w:noWrap w:val="0"/>
            <w:vAlign w:val="center"/>
          </w:tcPr>
          <w:p w14:paraId="07B872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646" w:type="dxa"/>
            <w:noWrap w:val="0"/>
            <w:vAlign w:val="center"/>
          </w:tcPr>
          <w:p w14:paraId="490A5A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F0FD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14:paraId="6CA06B2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417" w:type="dxa"/>
            <w:shd w:val="clear" w:color="auto" w:fill="auto"/>
            <w:noWrap w:val="0"/>
            <w:vAlign w:val="center"/>
          </w:tcPr>
          <w:p w14:paraId="3BD6692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43A6F9B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6" w:type="dxa"/>
            <w:shd w:val="clear" w:color="auto" w:fill="auto"/>
            <w:noWrap w:val="0"/>
            <w:vAlign w:val="center"/>
          </w:tcPr>
          <w:p w14:paraId="62932E0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5" w:type="dxa"/>
            <w:shd w:val="clear" w:color="auto" w:fill="auto"/>
            <w:noWrap w:val="0"/>
            <w:vAlign w:val="center"/>
          </w:tcPr>
          <w:p w14:paraId="68EBC6B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850" w:type="dxa"/>
            <w:shd w:val="clear" w:color="auto" w:fill="auto"/>
            <w:noWrap w:val="0"/>
            <w:vAlign w:val="center"/>
          </w:tcPr>
          <w:p w14:paraId="50CC894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5E38D0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52" w:type="dxa"/>
            <w:shd w:val="clear" w:color="auto" w:fill="D9D9D9"/>
            <w:noWrap w:val="0"/>
            <w:vAlign w:val="center"/>
          </w:tcPr>
          <w:p w14:paraId="031F061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646" w:type="dxa"/>
            <w:noWrap w:val="0"/>
            <w:vAlign w:val="center"/>
          </w:tcPr>
          <w:p w14:paraId="7066F78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00839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14:paraId="45B2B3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417" w:type="dxa"/>
            <w:shd w:val="clear" w:color="auto" w:fill="auto"/>
            <w:noWrap w:val="0"/>
            <w:vAlign w:val="center"/>
          </w:tcPr>
          <w:p w14:paraId="1EBD3B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26E6C15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6" w:type="dxa"/>
            <w:shd w:val="clear" w:color="auto" w:fill="auto"/>
            <w:noWrap w:val="0"/>
            <w:vAlign w:val="center"/>
          </w:tcPr>
          <w:p w14:paraId="36B2144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5" w:type="dxa"/>
            <w:shd w:val="clear" w:color="auto" w:fill="auto"/>
            <w:noWrap w:val="0"/>
            <w:vAlign w:val="center"/>
          </w:tcPr>
          <w:p w14:paraId="5A5D5F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850" w:type="dxa"/>
            <w:shd w:val="clear" w:color="auto" w:fill="auto"/>
            <w:noWrap w:val="0"/>
            <w:vAlign w:val="center"/>
          </w:tcPr>
          <w:p w14:paraId="0E6EE8D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1EF6E7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52" w:type="dxa"/>
            <w:shd w:val="clear" w:color="auto" w:fill="D9D9D9"/>
            <w:noWrap w:val="0"/>
            <w:vAlign w:val="center"/>
          </w:tcPr>
          <w:p w14:paraId="48FA46C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646" w:type="dxa"/>
            <w:noWrap w:val="0"/>
            <w:vAlign w:val="center"/>
          </w:tcPr>
          <w:p w14:paraId="228CE5E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170C6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14:paraId="44723D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417" w:type="dxa"/>
            <w:shd w:val="clear" w:color="auto" w:fill="auto"/>
            <w:noWrap w:val="0"/>
            <w:vAlign w:val="center"/>
          </w:tcPr>
          <w:p w14:paraId="577246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01D1436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6" w:type="dxa"/>
            <w:shd w:val="clear" w:color="auto" w:fill="auto"/>
            <w:noWrap w:val="0"/>
            <w:vAlign w:val="center"/>
          </w:tcPr>
          <w:p w14:paraId="16931CE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5" w:type="dxa"/>
            <w:shd w:val="clear" w:color="auto" w:fill="auto"/>
            <w:noWrap w:val="0"/>
            <w:vAlign w:val="center"/>
          </w:tcPr>
          <w:p w14:paraId="31FAEA5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850" w:type="dxa"/>
            <w:shd w:val="clear" w:color="auto" w:fill="auto"/>
            <w:noWrap w:val="0"/>
            <w:vAlign w:val="center"/>
          </w:tcPr>
          <w:p w14:paraId="0EF9B9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1C1D0A7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52" w:type="dxa"/>
            <w:shd w:val="clear" w:color="auto" w:fill="D9D9D9"/>
            <w:noWrap w:val="0"/>
            <w:vAlign w:val="center"/>
          </w:tcPr>
          <w:p w14:paraId="132058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646" w:type="dxa"/>
            <w:noWrap w:val="0"/>
            <w:vAlign w:val="center"/>
          </w:tcPr>
          <w:p w14:paraId="0B5D746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r w14:paraId="7F16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noWrap w:val="0"/>
            <w:vAlign w:val="center"/>
          </w:tcPr>
          <w:p w14:paraId="32495A0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417" w:type="dxa"/>
            <w:shd w:val="clear" w:color="auto" w:fill="auto"/>
            <w:noWrap w:val="0"/>
            <w:vAlign w:val="center"/>
          </w:tcPr>
          <w:p w14:paraId="7E19C64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3C5B435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6" w:type="dxa"/>
            <w:shd w:val="clear" w:color="auto" w:fill="auto"/>
            <w:noWrap w:val="0"/>
            <w:vAlign w:val="center"/>
          </w:tcPr>
          <w:p w14:paraId="7E433BF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25" w:type="dxa"/>
            <w:shd w:val="clear" w:color="auto" w:fill="auto"/>
            <w:noWrap w:val="0"/>
            <w:vAlign w:val="center"/>
          </w:tcPr>
          <w:p w14:paraId="7986ADA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850" w:type="dxa"/>
            <w:shd w:val="clear" w:color="auto" w:fill="auto"/>
            <w:noWrap w:val="0"/>
            <w:vAlign w:val="center"/>
          </w:tcPr>
          <w:p w14:paraId="5A79423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34" w:type="dxa"/>
            <w:shd w:val="clear" w:color="auto" w:fill="auto"/>
            <w:noWrap w:val="0"/>
            <w:vAlign w:val="center"/>
          </w:tcPr>
          <w:p w14:paraId="7BCC65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1152" w:type="dxa"/>
            <w:shd w:val="clear" w:color="auto" w:fill="D9D9D9"/>
            <w:noWrap w:val="0"/>
            <w:vAlign w:val="center"/>
          </w:tcPr>
          <w:p w14:paraId="4685A0B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c>
          <w:tcPr>
            <w:tcW w:w="646" w:type="dxa"/>
            <w:noWrap w:val="0"/>
            <w:vAlign w:val="center"/>
          </w:tcPr>
          <w:p w14:paraId="2DDD23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pacing w:val="20"/>
                <w:sz w:val="24"/>
                <w:szCs w:val="24"/>
                <w:highlight w:val="none"/>
              </w:rPr>
            </w:pPr>
          </w:p>
        </w:tc>
      </w:tr>
    </w:tbl>
    <w:p w14:paraId="73C23B22">
      <w:pPr>
        <w:pStyle w:val="50"/>
        <w:snapToGrid w:val="0"/>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注：1、投标人可按上述的格式自行编制，须随表提交相应的合同复印件并注明所在投标人资信文件页码。</w:t>
      </w:r>
    </w:p>
    <w:p w14:paraId="4A1A656F">
      <w:pPr>
        <w:pStyle w:val="50"/>
        <w:snapToGrid w:val="0"/>
        <w:spacing w:line="360" w:lineRule="auto"/>
        <w:rPr>
          <w:rFonts w:hint="eastAsia" w:ascii="宋体" w:hAnsi="宋体" w:eastAsia="宋体" w:cs="宋体"/>
          <w:snapToGrid w:val="0"/>
          <w:color w:val="auto"/>
          <w:sz w:val="24"/>
          <w:szCs w:val="24"/>
          <w:highlight w:val="none"/>
        </w:rPr>
      </w:pPr>
    </w:p>
    <w:p w14:paraId="35A9D64F">
      <w:pPr>
        <w:pStyle w:val="50"/>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投标人（盖公章）：</w:t>
      </w:r>
    </w:p>
    <w:p w14:paraId="6D60221A">
      <w:pPr>
        <w:pStyle w:val="50"/>
        <w:snapToGrid w:val="0"/>
        <w:spacing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sz w:val="24"/>
          <w:szCs w:val="24"/>
          <w:highlight w:val="none"/>
        </w:rPr>
        <w:t>或其委托代理人（签字或盖章）：</w:t>
      </w:r>
    </w:p>
    <w:p w14:paraId="5BABB9BE">
      <w:pPr>
        <w:pStyle w:val="5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 xml:space="preserve">      年    月    日</w:t>
      </w:r>
    </w:p>
    <w:p w14:paraId="402C97AD">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1687571C">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1B2A7B85">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39EBC1BD">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1296927D">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3958B4A4">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20793302">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09D13B43">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35D5CAF2">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2CD16471">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152D5CED">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41BA00CE">
      <w:pPr>
        <w:pStyle w:val="50"/>
        <w:adjustRightInd w:val="0"/>
        <w:snapToGrid w:val="0"/>
        <w:spacing w:line="360" w:lineRule="auto"/>
        <w:jc w:val="center"/>
        <w:rPr>
          <w:rFonts w:hint="eastAsia" w:ascii="宋体" w:hAnsi="宋体" w:eastAsia="宋体" w:cs="宋体"/>
          <w:b/>
          <w:bCs/>
          <w:color w:val="auto"/>
          <w:kern w:val="0"/>
          <w:sz w:val="24"/>
          <w:szCs w:val="24"/>
          <w:highlight w:val="none"/>
          <w:lang w:val="en-US" w:eastAsia="zh-CN" w:bidi="ar-SA"/>
        </w:rPr>
      </w:pPr>
    </w:p>
    <w:p w14:paraId="3EAFBA54">
      <w:pPr>
        <w:pStyle w:val="5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SA"/>
        </w:rPr>
        <w:t>三、</w:t>
      </w:r>
      <w:r>
        <w:rPr>
          <w:rFonts w:hint="eastAsia" w:ascii="宋体" w:hAnsi="宋体" w:eastAsia="宋体" w:cs="宋体"/>
          <w:b/>
          <w:bCs/>
          <w:color w:val="auto"/>
          <w:sz w:val="24"/>
          <w:szCs w:val="24"/>
          <w:highlight w:val="none"/>
        </w:rPr>
        <w:t>诚信廉洁承诺函</w:t>
      </w:r>
      <w:r>
        <w:rPr>
          <w:rFonts w:hint="eastAsia" w:ascii="宋体" w:hAnsi="宋体" w:eastAsia="宋体" w:cs="宋体"/>
          <w:b w:val="0"/>
          <w:bCs w:val="0"/>
          <w:color w:val="auto"/>
          <w:kern w:val="0"/>
          <w:sz w:val="24"/>
          <w:szCs w:val="24"/>
          <w:highlight w:val="none"/>
          <w:lang w:eastAsia="zh-CN"/>
        </w:rPr>
        <w:t>（格式仅供</w:t>
      </w:r>
      <w:r>
        <w:rPr>
          <w:rFonts w:hint="eastAsia" w:ascii="宋体" w:hAnsi="宋体" w:eastAsia="宋体" w:cs="宋体"/>
          <w:b w:val="0"/>
          <w:bCs w:val="0"/>
          <w:color w:val="auto"/>
          <w:kern w:val="0"/>
          <w:sz w:val="24"/>
          <w:szCs w:val="24"/>
          <w:highlight w:val="none"/>
          <w:lang w:val="en-US" w:eastAsia="zh-CN"/>
        </w:rPr>
        <w:t>招标人</w:t>
      </w:r>
      <w:r>
        <w:rPr>
          <w:rFonts w:hint="eastAsia" w:ascii="宋体" w:hAnsi="宋体" w:eastAsia="宋体" w:cs="宋体"/>
          <w:b w:val="0"/>
          <w:bCs w:val="0"/>
          <w:color w:val="auto"/>
          <w:kern w:val="0"/>
          <w:sz w:val="24"/>
          <w:szCs w:val="24"/>
          <w:highlight w:val="none"/>
          <w:lang w:eastAsia="zh-CN"/>
        </w:rPr>
        <w:t>参考）</w:t>
      </w:r>
    </w:p>
    <w:p w14:paraId="45C1466F">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招</w:t>
      </w:r>
      <w:r>
        <w:rPr>
          <w:rFonts w:hint="eastAsia" w:ascii="宋体" w:hAnsi="宋体" w:eastAsia="宋体" w:cs="宋体"/>
          <w:color w:val="auto"/>
          <w:sz w:val="24"/>
          <w:szCs w:val="24"/>
          <w:highlight w:val="none"/>
          <w:u w:val="single"/>
        </w:rPr>
        <w:t>标人名称）</w:t>
      </w:r>
      <w:r>
        <w:rPr>
          <w:rFonts w:hint="eastAsia" w:ascii="宋体" w:hAnsi="宋体" w:eastAsia="宋体" w:cs="宋体"/>
          <w:b/>
          <w:bCs/>
          <w:color w:val="auto"/>
          <w:sz w:val="24"/>
          <w:szCs w:val="24"/>
          <w:highlight w:val="none"/>
        </w:rPr>
        <w:t>：</w:t>
      </w:r>
    </w:p>
    <w:p w14:paraId="3102ECD0">
      <w:pPr>
        <w:spacing w:line="360" w:lineRule="exact"/>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承诺提供的信息（含投标资料、各项应答及承诺）是真实可靠，并能在价格有效期内忠实履行的。</w:t>
      </w:r>
    </w:p>
    <w:p w14:paraId="3F6EB071">
      <w:pPr>
        <w:spacing w:line="360" w:lineRule="exact"/>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资格、暂停其所有款项的支付，如由此给招标人带来损失的，还应赔偿招标人的损失。</w:t>
      </w:r>
    </w:p>
    <w:p w14:paraId="0A8325B3">
      <w:pPr>
        <w:spacing w:line="360" w:lineRule="exact"/>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承诺不对</w:t>
      </w:r>
      <w:r>
        <w:rPr>
          <w:rFonts w:hint="eastAsia" w:ascii="宋体" w:hAnsi="宋体" w:eastAsia="宋体" w:cs="宋体"/>
          <w:color w:val="auto"/>
          <w:sz w:val="24"/>
          <w:szCs w:val="24"/>
          <w:highlight w:val="none"/>
          <w:lang w:val="en-US" w:eastAsia="zh-CN"/>
        </w:rPr>
        <w:t>招标相关</w:t>
      </w:r>
      <w:r>
        <w:rPr>
          <w:rFonts w:hint="eastAsia" w:ascii="宋体" w:hAnsi="宋体" w:eastAsia="宋体" w:cs="宋体"/>
          <w:color w:val="auto"/>
          <w:sz w:val="24"/>
          <w:szCs w:val="24"/>
          <w:highlight w:val="none"/>
        </w:rPr>
        <w:t>工作人员行贿，如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招标相关工作人员</w:t>
      </w:r>
      <w:r>
        <w:rPr>
          <w:rFonts w:hint="eastAsia" w:ascii="宋体" w:hAnsi="宋体" w:eastAsia="宋体" w:cs="宋体"/>
          <w:color w:val="auto"/>
          <w:sz w:val="24"/>
          <w:szCs w:val="24"/>
          <w:highlight w:val="none"/>
        </w:rPr>
        <w:t>行贿的，则</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有权解除本合同，要求</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赔偿因此所造成的损失；</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保留在相关媒体或网站等对外发布的权利。</w:t>
      </w:r>
    </w:p>
    <w:p w14:paraId="16B68075">
      <w:pPr>
        <w:spacing w:line="360" w:lineRule="auto"/>
        <w:jc w:val="center"/>
        <w:rPr>
          <w:rFonts w:hint="eastAsia" w:ascii="宋体" w:hAnsi="宋体" w:eastAsia="宋体" w:cs="宋体"/>
          <w:color w:val="auto"/>
          <w:sz w:val="24"/>
          <w:szCs w:val="24"/>
          <w:highlight w:val="none"/>
        </w:rPr>
      </w:pPr>
    </w:p>
    <w:p w14:paraId="52A2049F">
      <w:pPr>
        <w:spacing w:line="360" w:lineRule="auto"/>
        <w:jc w:val="center"/>
        <w:rPr>
          <w:rFonts w:hint="eastAsia" w:ascii="宋体" w:hAnsi="宋体" w:eastAsia="宋体" w:cs="宋体"/>
          <w:color w:val="auto"/>
          <w:sz w:val="24"/>
          <w:szCs w:val="24"/>
          <w:highlight w:val="none"/>
        </w:rPr>
      </w:pPr>
    </w:p>
    <w:p w14:paraId="69D9B23D">
      <w:pPr>
        <w:rPr>
          <w:rFonts w:hint="eastAsia" w:ascii="宋体" w:hAnsi="宋体" w:eastAsia="宋体" w:cs="宋体"/>
          <w:color w:val="auto"/>
          <w:sz w:val="24"/>
          <w:szCs w:val="24"/>
          <w:highlight w:val="none"/>
        </w:rPr>
      </w:pPr>
    </w:p>
    <w:p w14:paraId="06FEA2A9">
      <w:pPr>
        <w:rPr>
          <w:rFonts w:hint="eastAsia" w:ascii="宋体" w:hAnsi="宋体" w:eastAsia="宋体" w:cs="宋体"/>
          <w:color w:val="auto"/>
          <w:sz w:val="24"/>
          <w:szCs w:val="24"/>
          <w:highlight w:val="none"/>
        </w:rPr>
      </w:pPr>
    </w:p>
    <w:p w14:paraId="5D05DE60">
      <w:pPr>
        <w:rPr>
          <w:rFonts w:hint="eastAsia" w:ascii="宋体" w:hAnsi="宋体" w:eastAsia="宋体" w:cs="宋体"/>
          <w:color w:val="auto"/>
          <w:sz w:val="24"/>
          <w:szCs w:val="24"/>
          <w:highlight w:val="none"/>
        </w:rPr>
      </w:pPr>
    </w:p>
    <w:p w14:paraId="2D1A82E0">
      <w:pPr>
        <w:pStyle w:val="1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投标人（盖公章）：</w:t>
      </w:r>
    </w:p>
    <w:p w14:paraId="7B7175C9">
      <w:pPr>
        <w:pStyle w:val="1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或其委托代理人（签字或盖章）：</w:t>
      </w:r>
    </w:p>
    <w:p w14:paraId="0FD0EE5B">
      <w:pPr>
        <w:pStyle w:val="5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 xml:space="preserve">      年    月    日</w:t>
      </w:r>
    </w:p>
    <w:p w14:paraId="7252847C">
      <w:pPr>
        <w:pStyle w:val="4"/>
        <w:jc w:val="center"/>
        <w:rPr>
          <w:rFonts w:hint="eastAsia" w:ascii="宋体" w:hAnsi="宋体" w:eastAsia="宋体" w:cs="宋体"/>
          <w:color w:val="auto"/>
          <w:sz w:val="24"/>
          <w:szCs w:val="24"/>
          <w:highlight w:val="none"/>
        </w:rPr>
      </w:pPr>
    </w:p>
    <w:p w14:paraId="17A88D8B">
      <w:pPr>
        <w:pStyle w:val="4"/>
        <w:jc w:val="center"/>
        <w:rPr>
          <w:rFonts w:hint="eastAsia" w:ascii="宋体" w:hAnsi="宋体" w:eastAsia="宋体" w:cs="宋体"/>
          <w:color w:val="auto"/>
          <w:sz w:val="24"/>
          <w:szCs w:val="24"/>
          <w:highlight w:val="none"/>
        </w:rPr>
      </w:pPr>
    </w:p>
    <w:p w14:paraId="1CCB02BD">
      <w:pPr>
        <w:pStyle w:val="4"/>
        <w:jc w:val="center"/>
        <w:rPr>
          <w:rFonts w:hint="eastAsia" w:ascii="宋体" w:hAnsi="宋体" w:eastAsia="宋体" w:cs="宋体"/>
          <w:color w:val="auto"/>
          <w:sz w:val="24"/>
          <w:szCs w:val="24"/>
          <w:highlight w:val="none"/>
        </w:rPr>
      </w:pPr>
    </w:p>
    <w:p w14:paraId="2B95ECBA">
      <w:pPr>
        <w:pStyle w:val="4"/>
        <w:jc w:val="center"/>
        <w:rPr>
          <w:rFonts w:hint="eastAsia" w:ascii="宋体" w:hAnsi="宋体" w:eastAsia="宋体" w:cs="宋体"/>
          <w:color w:val="auto"/>
          <w:sz w:val="24"/>
          <w:szCs w:val="24"/>
          <w:highlight w:val="none"/>
        </w:rPr>
      </w:pPr>
    </w:p>
    <w:p w14:paraId="28FA6046">
      <w:pPr>
        <w:pStyle w:val="4"/>
        <w:jc w:val="center"/>
        <w:rPr>
          <w:rFonts w:hint="eastAsia" w:ascii="宋体" w:hAnsi="宋体" w:eastAsia="宋体" w:cs="宋体"/>
          <w:color w:val="auto"/>
          <w:sz w:val="24"/>
          <w:szCs w:val="24"/>
          <w:highlight w:val="none"/>
        </w:rPr>
      </w:pPr>
    </w:p>
    <w:p w14:paraId="4FB81932">
      <w:pPr>
        <w:spacing w:line="360" w:lineRule="auto"/>
        <w:jc w:val="center"/>
        <w:rPr>
          <w:rFonts w:hint="eastAsia" w:ascii="宋体" w:hAnsi="宋体" w:eastAsia="宋体" w:cs="宋体"/>
          <w:b/>
          <w:bCs/>
          <w:color w:val="auto"/>
          <w:kern w:val="0"/>
          <w:sz w:val="24"/>
          <w:szCs w:val="24"/>
          <w:highlight w:val="none"/>
          <w:lang w:val="en-US" w:eastAsia="zh-CN" w:bidi="ar-SA"/>
        </w:rPr>
      </w:pPr>
    </w:p>
    <w:p w14:paraId="1C9E76EB">
      <w:pPr>
        <w:pStyle w:val="50"/>
        <w:snapToGrid w:val="0"/>
        <w:spacing w:line="360" w:lineRule="auto"/>
        <w:rPr>
          <w:rFonts w:hint="eastAsia" w:ascii="宋体" w:hAnsi="宋体" w:eastAsia="宋体" w:cs="宋体"/>
          <w:color w:val="auto"/>
          <w:sz w:val="24"/>
          <w:szCs w:val="24"/>
          <w:highlight w:val="none"/>
        </w:rPr>
      </w:pPr>
    </w:p>
    <w:p w14:paraId="0121E599">
      <w:pPr>
        <w:pStyle w:val="50"/>
        <w:snapToGrid w:val="0"/>
        <w:spacing w:line="360" w:lineRule="auto"/>
        <w:rPr>
          <w:rFonts w:hint="eastAsia" w:ascii="宋体" w:hAnsi="宋体" w:eastAsia="宋体" w:cs="宋体"/>
          <w:color w:val="auto"/>
          <w:sz w:val="24"/>
          <w:szCs w:val="24"/>
          <w:highlight w:val="none"/>
        </w:rPr>
      </w:pPr>
    </w:p>
    <w:p w14:paraId="253BFEC1">
      <w:pPr>
        <w:pStyle w:val="50"/>
        <w:snapToGrid w:val="0"/>
        <w:spacing w:line="360" w:lineRule="auto"/>
        <w:rPr>
          <w:rFonts w:hint="eastAsia" w:ascii="宋体" w:hAnsi="宋体" w:eastAsia="宋体" w:cs="宋体"/>
          <w:color w:val="auto"/>
          <w:sz w:val="24"/>
          <w:szCs w:val="24"/>
          <w:highlight w:val="none"/>
        </w:rPr>
      </w:pPr>
    </w:p>
    <w:p w14:paraId="2318F957">
      <w:pPr>
        <w:pStyle w:val="50"/>
        <w:snapToGrid w:val="0"/>
        <w:spacing w:line="360" w:lineRule="auto"/>
        <w:rPr>
          <w:rFonts w:hint="eastAsia" w:ascii="宋体" w:hAnsi="宋体" w:eastAsia="宋体" w:cs="宋体"/>
          <w:color w:val="auto"/>
          <w:sz w:val="24"/>
          <w:szCs w:val="24"/>
          <w:highlight w:val="none"/>
        </w:rPr>
      </w:pPr>
    </w:p>
    <w:p w14:paraId="4DBFD9FE">
      <w:pPr>
        <w:pStyle w:val="50"/>
        <w:snapToGrid w:val="0"/>
        <w:spacing w:line="360" w:lineRule="auto"/>
        <w:rPr>
          <w:rFonts w:hint="eastAsia" w:ascii="宋体" w:hAnsi="宋体" w:eastAsia="宋体" w:cs="宋体"/>
          <w:color w:val="auto"/>
          <w:sz w:val="24"/>
          <w:szCs w:val="24"/>
          <w:highlight w:val="none"/>
        </w:rPr>
      </w:pPr>
    </w:p>
    <w:p w14:paraId="35DB1172">
      <w:pPr>
        <w:pStyle w:val="50"/>
        <w:snapToGrid w:val="0"/>
        <w:spacing w:line="360" w:lineRule="auto"/>
        <w:rPr>
          <w:rFonts w:hint="eastAsia" w:ascii="宋体" w:hAnsi="宋体" w:eastAsia="宋体" w:cs="宋体"/>
          <w:color w:val="auto"/>
          <w:sz w:val="24"/>
          <w:szCs w:val="24"/>
          <w:highlight w:val="none"/>
        </w:rPr>
      </w:pPr>
    </w:p>
    <w:p w14:paraId="2C535EB1">
      <w:pPr>
        <w:pStyle w:val="50"/>
        <w:snapToGrid w:val="0"/>
        <w:spacing w:line="360" w:lineRule="auto"/>
        <w:rPr>
          <w:rFonts w:hint="eastAsia" w:ascii="宋体" w:hAnsi="宋体" w:eastAsia="宋体" w:cs="宋体"/>
          <w:color w:val="auto"/>
          <w:sz w:val="24"/>
          <w:szCs w:val="24"/>
          <w:highlight w:val="none"/>
        </w:rPr>
      </w:pPr>
    </w:p>
    <w:p w14:paraId="35011CF2">
      <w:pPr>
        <w:pStyle w:val="50"/>
        <w:snapToGrid w:val="0"/>
        <w:spacing w:line="360" w:lineRule="auto"/>
        <w:rPr>
          <w:rFonts w:hint="eastAsia" w:ascii="宋体" w:hAnsi="宋体" w:eastAsia="宋体" w:cs="宋体"/>
          <w:color w:val="auto"/>
          <w:sz w:val="24"/>
          <w:szCs w:val="24"/>
          <w:highlight w:val="none"/>
        </w:rPr>
      </w:pPr>
    </w:p>
    <w:p w14:paraId="539A9DE4">
      <w:pPr>
        <w:numPr>
          <w:ilvl w:val="0"/>
          <w:numId w:val="0"/>
        </w:numPr>
        <w:adjustRightInd w:val="0"/>
        <w:snapToGrid w:val="0"/>
        <w:spacing w:line="360" w:lineRule="auto"/>
        <w:jc w:val="both"/>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val="en-US" w:eastAsia="zh-CN" w:bidi="ar-SA"/>
        </w:rPr>
        <w:t>投标人认为有必要的其他内容等</w:t>
      </w:r>
    </w:p>
    <w:p w14:paraId="49395A32">
      <w:pPr>
        <w:adjustRightInd w:val="0"/>
        <w:snapToGrid w:val="0"/>
        <w:spacing w:line="360" w:lineRule="auto"/>
        <w:outlineLvl w:val="1"/>
        <w:rPr>
          <w:rFonts w:hint="eastAsia" w:ascii="宋体" w:hAnsi="宋体" w:eastAsia="宋体" w:cs="宋体"/>
          <w:color w:val="auto"/>
          <w:sz w:val="24"/>
          <w:szCs w:val="24"/>
          <w:highlight w:val="none"/>
        </w:rPr>
      </w:pPr>
    </w:p>
    <w:p w14:paraId="7574F37B">
      <w:pPr>
        <w:adjustRightInd w:val="0"/>
        <w:snapToGrid w:val="0"/>
        <w:spacing w:line="360" w:lineRule="auto"/>
        <w:outlineLvl w:val="1"/>
        <w:rPr>
          <w:rFonts w:hint="eastAsia" w:ascii="宋体" w:hAnsi="宋体" w:eastAsia="宋体" w:cs="宋体"/>
          <w:color w:val="auto"/>
          <w:sz w:val="24"/>
          <w:szCs w:val="24"/>
          <w:highlight w:val="none"/>
        </w:rPr>
      </w:pPr>
    </w:p>
    <w:p w14:paraId="7CD7D305">
      <w:pPr>
        <w:adjustRightInd w:val="0"/>
        <w:snapToGrid w:val="0"/>
        <w:spacing w:line="360" w:lineRule="auto"/>
        <w:outlineLvl w:val="1"/>
        <w:rPr>
          <w:rFonts w:hint="eastAsia" w:ascii="宋体" w:hAnsi="宋体" w:eastAsia="宋体" w:cs="宋体"/>
          <w:color w:val="auto"/>
          <w:sz w:val="24"/>
          <w:szCs w:val="24"/>
          <w:highlight w:val="none"/>
        </w:rPr>
      </w:pPr>
    </w:p>
    <w:p w14:paraId="675A28BA">
      <w:pPr>
        <w:adjustRightInd w:val="0"/>
        <w:snapToGrid w:val="0"/>
        <w:spacing w:line="360" w:lineRule="auto"/>
        <w:outlineLvl w:val="1"/>
        <w:rPr>
          <w:rFonts w:hint="eastAsia" w:ascii="宋体" w:hAnsi="宋体" w:eastAsia="宋体" w:cs="宋体"/>
          <w:color w:val="auto"/>
          <w:sz w:val="24"/>
          <w:szCs w:val="24"/>
          <w:highlight w:val="none"/>
        </w:rPr>
      </w:pPr>
    </w:p>
    <w:p w14:paraId="3B7B3F51">
      <w:pPr>
        <w:spacing w:before="65" w:line="440" w:lineRule="exact"/>
        <w:ind w:firstLine="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投</w:t>
      </w:r>
      <w:r>
        <w:rPr>
          <w:rFonts w:hint="eastAsia" w:ascii="宋体" w:hAnsi="宋体" w:eastAsia="宋体" w:cs="宋体"/>
          <w:color w:val="auto"/>
          <w:spacing w:val="7"/>
          <w:sz w:val="24"/>
          <w:szCs w:val="24"/>
          <w:highlight w:val="none"/>
        </w:rPr>
        <w:t>标人（盖公章</w:t>
      </w:r>
      <w:r>
        <w:rPr>
          <w:rFonts w:hint="eastAsia" w:ascii="宋体" w:hAnsi="宋体" w:eastAsia="宋体" w:cs="宋体"/>
          <w:color w:val="auto"/>
          <w:spacing w:val="10"/>
          <w:sz w:val="24"/>
          <w:szCs w:val="24"/>
          <w:highlight w:val="none"/>
        </w:rPr>
        <w:t>）：</w:t>
      </w:r>
    </w:p>
    <w:p w14:paraId="3F552D10">
      <w:pPr>
        <w:spacing w:before="162" w:line="440" w:lineRule="exact"/>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法定代表人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负责人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color w:val="auto"/>
          <w:spacing w:val="9"/>
          <w:sz w:val="24"/>
          <w:szCs w:val="24"/>
          <w:highlight w:val="none"/>
        </w:rPr>
        <w:t>或其委托代理人（签字或</w:t>
      </w:r>
      <w:r>
        <w:rPr>
          <w:rFonts w:hint="eastAsia" w:ascii="宋体" w:hAnsi="宋体" w:eastAsia="宋体" w:cs="宋体"/>
          <w:color w:val="auto"/>
          <w:spacing w:val="8"/>
          <w:sz w:val="24"/>
          <w:szCs w:val="24"/>
          <w:highlight w:val="none"/>
        </w:rPr>
        <w:t>盖章</w:t>
      </w:r>
      <w:r>
        <w:rPr>
          <w:rFonts w:hint="eastAsia" w:ascii="宋体" w:hAnsi="宋体" w:eastAsia="宋体" w:cs="宋体"/>
          <w:color w:val="auto"/>
          <w:spacing w:val="10"/>
          <w:sz w:val="24"/>
          <w:szCs w:val="24"/>
          <w:highlight w:val="none"/>
        </w:rPr>
        <w:t>）：</w:t>
      </w:r>
    </w:p>
    <w:p w14:paraId="261775AD">
      <w:pPr>
        <w:spacing w:before="161" w:line="440" w:lineRule="exact"/>
        <w:ind w:firstLine="3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日期：年月   日</w:t>
      </w:r>
    </w:p>
    <w:p w14:paraId="2ED98311">
      <w:pPr>
        <w:adjustRightInd w:val="0"/>
        <w:snapToGrid w:val="0"/>
        <w:spacing w:line="360" w:lineRule="auto"/>
        <w:jc w:val="center"/>
        <w:outlineLvl w:val="1"/>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br w:type="page"/>
      </w:r>
      <w:bookmarkStart w:id="107" w:name="_Toc83886046"/>
    </w:p>
    <w:p w14:paraId="2D0006EE">
      <w:pPr>
        <w:adjustRightInd w:val="0"/>
        <w:snapToGrid w:val="0"/>
        <w:spacing w:line="360" w:lineRule="auto"/>
        <w:jc w:val="center"/>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第四部分、技术文件</w:t>
      </w:r>
      <w:bookmarkEnd w:id="107"/>
    </w:p>
    <w:p w14:paraId="5CC3A661">
      <w:pPr>
        <w:snapToGrid w:val="0"/>
        <w:spacing w:line="360" w:lineRule="auto"/>
        <w:jc w:val="center"/>
        <w:outlineLvl w:val="1"/>
        <w:rPr>
          <w:rFonts w:hint="eastAsia" w:ascii="宋体" w:hAnsi="宋体" w:eastAsia="宋体" w:cs="宋体"/>
          <w:b/>
          <w:bCs/>
          <w:color w:val="auto"/>
          <w:sz w:val="24"/>
          <w:szCs w:val="24"/>
          <w:highlight w:val="none"/>
        </w:rPr>
      </w:pPr>
      <w:bookmarkStart w:id="108" w:name="_Toc20079"/>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val="en-US" w:eastAsia="zh-CN"/>
        </w:rPr>
        <w:t>与服务</w:t>
      </w:r>
      <w:r>
        <w:rPr>
          <w:rFonts w:hint="eastAsia" w:ascii="宋体" w:hAnsi="宋体" w:eastAsia="宋体" w:cs="宋体"/>
          <w:b/>
          <w:bCs/>
          <w:color w:val="auto"/>
          <w:sz w:val="24"/>
          <w:szCs w:val="24"/>
          <w:highlight w:val="none"/>
        </w:rPr>
        <w:t>解决方案</w:t>
      </w:r>
    </w:p>
    <w:p w14:paraId="2D14503A">
      <w:pPr>
        <w:spacing w:line="360" w:lineRule="auto"/>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highlight w:val="none"/>
        </w:rPr>
        <w:t>（由投标人根据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需求及招标文件要求编制）</w:t>
      </w:r>
      <w:r>
        <w:rPr>
          <w:rFonts w:hint="eastAsia" w:ascii="宋体" w:hAnsi="宋体" w:eastAsia="宋体" w:cs="宋体"/>
          <w:b/>
          <w:color w:val="auto"/>
          <w:kern w:val="0"/>
          <w:sz w:val="24"/>
          <w:szCs w:val="24"/>
          <w:highlight w:val="none"/>
          <w:lang w:val="en-US" w:eastAsia="zh-CN"/>
        </w:rPr>
        <w:br w:type="page"/>
      </w:r>
    </w:p>
    <w:p w14:paraId="28FCC86C">
      <w:pPr>
        <w:spacing w:line="360" w:lineRule="auto"/>
        <w:jc w:val="center"/>
        <w:rPr>
          <w:rFonts w:hint="eastAsia" w:ascii="宋体" w:hAnsi="宋体" w:eastAsia="宋体" w:cs="宋体"/>
          <w:b/>
          <w:bCs/>
          <w:color w:val="auto"/>
          <w:kern w:val="2"/>
          <w:sz w:val="24"/>
          <w:szCs w:val="24"/>
          <w:highlight w:val="none"/>
          <w:lang w:val="zh-CN"/>
        </w:rPr>
      </w:pPr>
      <w:r>
        <w:rPr>
          <w:rFonts w:hint="eastAsia" w:ascii="宋体" w:hAnsi="宋体" w:eastAsia="宋体" w:cs="宋体"/>
          <w:b/>
          <w:color w:val="auto"/>
          <w:kern w:val="0"/>
          <w:sz w:val="24"/>
          <w:szCs w:val="24"/>
          <w:highlight w:val="none"/>
          <w:lang w:val="en-US" w:eastAsia="zh-CN"/>
        </w:rPr>
        <w:t>二</w:t>
      </w:r>
      <w:r>
        <w:rPr>
          <w:rFonts w:hint="eastAsia" w:ascii="宋体" w:hAnsi="宋体" w:eastAsia="宋体" w:cs="宋体"/>
          <w:b/>
          <w:color w:val="auto"/>
          <w:kern w:val="0"/>
          <w:sz w:val="24"/>
          <w:szCs w:val="24"/>
          <w:highlight w:val="none"/>
        </w:rPr>
        <w:t>、</w:t>
      </w:r>
      <w:r>
        <w:rPr>
          <w:rFonts w:hint="eastAsia" w:ascii="宋体" w:hAnsi="宋体" w:eastAsia="宋体" w:cs="宋体"/>
          <w:b/>
          <w:bCs/>
          <w:color w:val="auto"/>
          <w:sz w:val="24"/>
          <w:szCs w:val="24"/>
          <w:highlight w:val="none"/>
          <w:lang w:eastAsia="zh-CN"/>
        </w:rPr>
        <w:t>技术</w:t>
      </w:r>
      <w:r>
        <w:rPr>
          <w:rFonts w:hint="eastAsia" w:ascii="宋体" w:hAnsi="宋体" w:eastAsia="宋体" w:cs="宋体"/>
          <w:b/>
          <w:bCs/>
          <w:color w:val="auto"/>
          <w:kern w:val="2"/>
          <w:sz w:val="24"/>
          <w:szCs w:val="24"/>
          <w:highlight w:val="none"/>
          <w:lang w:val="zh-CN"/>
        </w:rPr>
        <w:t>优惠条件及特殊承诺</w:t>
      </w:r>
    </w:p>
    <w:p w14:paraId="1382AF6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（由投标人根据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需求自行编制）</w:t>
      </w:r>
    </w:p>
    <w:p w14:paraId="68D1EE9C">
      <w:pPr>
        <w:spacing w:line="360" w:lineRule="auto"/>
        <w:jc w:val="center"/>
        <w:rPr>
          <w:rFonts w:hint="eastAsia" w:ascii="宋体" w:hAnsi="宋体" w:eastAsia="宋体" w:cs="宋体"/>
          <w:color w:val="auto"/>
          <w:sz w:val="24"/>
          <w:szCs w:val="24"/>
          <w:highlight w:val="none"/>
        </w:rPr>
      </w:pPr>
    </w:p>
    <w:p w14:paraId="3AA31798">
      <w:pPr>
        <w:pStyle w:val="10"/>
        <w:snapToGrid w:val="0"/>
        <w:spacing w:line="360" w:lineRule="auto"/>
        <w:rPr>
          <w:rFonts w:hint="eastAsia" w:ascii="宋体" w:hAnsi="宋体" w:eastAsia="宋体" w:cs="宋体"/>
          <w:snapToGrid w:val="0"/>
          <w:color w:val="auto"/>
          <w:kern w:val="0"/>
          <w:sz w:val="24"/>
          <w:szCs w:val="24"/>
          <w:highlight w:val="none"/>
        </w:rPr>
      </w:pPr>
    </w:p>
    <w:p w14:paraId="28CE937F">
      <w:pPr>
        <w:pStyle w:val="10"/>
        <w:snapToGrid w:val="0"/>
        <w:spacing w:line="360" w:lineRule="auto"/>
        <w:rPr>
          <w:rFonts w:hint="eastAsia" w:ascii="宋体" w:hAnsi="宋体" w:eastAsia="宋体" w:cs="宋体"/>
          <w:snapToGrid w:val="0"/>
          <w:color w:val="auto"/>
          <w:kern w:val="0"/>
          <w:sz w:val="24"/>
          <w:szCs w:val="24"/>
          <w:highlight w:val="none"/>
        </w:rPr>
      </w:pPr>
    </w:p>
    <w:p w14:paraId="7773011C">
      <w:pPr>
        <w:pStyle w:val="10"/>
        <w:snapToGrid w:val="0"/>
        <w:spacing w:line="360" w:lineRule="auto"/>
        <w:rPr>
          <w:rFonts w:hint="eastAsia" w:ascii="宋体" w:hAnsi="宋体" w:eastAsia="宋体" w:cs="宋体"/>
          <w:snapToGrid w:val="0"/>
          <w:color w:val="auto"/>
          <w:kern w:val="0"/>
          <w:sz w:val="24"/>
          <w:szCs w:val="24"/>
          <w:highlight w:val="none"/>
        </w:rPr>
      </w:pPr>
    </w:p>
    <w:p w14:paraId="1E3B2BEE">
      <w:pPr>
        <w:pStyle w:val="10"/>
        <w:snapToGrid w:val="0"/>
        <w:spacing w:line="360" w:lineRule="auto"/>
        <w:rPr>
          <w:rFonts w:hint="eastAsia" w:ascii="宋体" w:hAnsi="宋体" w:eastAsia="宋体" w:cs="宋体"/>
          <w:snapToGrid w:val="0"/>
          <w:color w:val="auto"/>
          <w:kern w:val="0"/>
          <w:sz w:val="24"/>
          <w:szCs w:val="24"/>
          <w:highlight w:val="none"/>
        </w:rPr>
      </w:pPr>
    </w:p>
    <w:p w14:paraId="78199A5F">
      <w:pPr>
        <w:pStyle w:val="10"/>
        <w:snapToGrid w:val="0"/>
        <w:spacing w:line="360" w:lineRule="auto"/>
        <w:rPr>
          <w:rFonts w:hint="eastAsia" w:ascii="宋体" w:hAnsi="宋体" w:eastAsia="宋体" w:cs="宋体"/>
          <w:snapToGrid w:val="0"/>
          <w:color w:val="auto"/>
          <w:kern w:val="0"/>
          <w:sz w:val="24"/>
          <w:szCs w:val="24"/>
          <w:highlight w:val="none"/>
        </w:rPr>
      </w:pPr>
    </w:p>
    <w:p w14:paraId="7BDEF9C9">
      <w:pPr>
        <w:pStyle w:val="10"/>
        <w:snapToGrid w:val="0"/>
        <w:spacing w:line="360" w:lineRule="auto"/>
        <w:rPr>
          <w:rFonts w:hint="eastAsia" w:ascii="宋体" w:hAnsi="宋体" w:eastAsia="宋体" w:cs="宋体"/>
          <w:snapToGrid w:val="0"/>
          <w:color w:val="auto"/>
          <w:kern w:val="0"/>
          <w:sz w:val="24"/>
          <w:szCs w:val="24"/>
          <w:highlight w:val="none"/>
        </w:rPr>
      </w:pPr>
    </w:p>
    <w:p w14:paraId="67CC9A58">
      <w:pPr>
        <w:pStyle w:val="10"/>
        <w:snapToGrid w:val="0"/>
        <w:spacing w:line="360" w:lineRule="auto"/>
        <w:rPr>
          <w:rFonts w:hint="eastAsia" w:ascii="宋体" w:hAnsi="宋体" w:eastAsia="宋体" w:cs="宋体"/>
          <w:snapToGrid w:val="0"/>
          <w:color w:val="auto"/>
          <w:kern w:val="0"/>
          <w:sz w:val="24"/>
          <w:szCs w:val="24"/>
          <w:highlight w:val="none"/>
        </w:rPr>
      </w:pPr>
    </w:p>
    <w:p w14:paraId="743FF68B">
      <w:pPr>
        <w:pStyle w:val="10"/>
        <w:snapToGrid w:val="0"/>
        <w:spacing w:line="360" w:lineRule="auto"/>
        <w:rPr>
          <w:rFonts w:hint="eastAsia" w:ascii="宋体" w:hAnsi="宋体" w:eastAsia="宋体" w:cs="宋体"/>
          <w:snapToGrid w:val="0"/>
          <w:color w:val="auto"/>
          <w:kern w:val="0"/>
          <w:sz w:val="24"/>
          <w:szCs w:val="24"/>
          <w:highlight w:val="none"/>
        </w:rPr>
      </w:pPr>
    </w:p>
    <w:p w14:paraId="77CC076A">
      <w:pPr>
        <w:pStyle w:val="10"/>
        <w:snapToGrid w:val="0"/>
        <w:spacing w:line="360" w:lineRule="auto"/>
        <w:rPr>
          <w:rFonts w:hint="eastAsia" w:ascii="宋体" w:hAnsi="宋体" w:eastAsia="宋体" w:cs="宋体"/>
          <w:snapToGrid w:val="0"/>
          <w:color w:val="auto"/>
          <w:kern w:val="0"/>
          <w:sz w:val="24"/>
          <w:szCs w:val="24"/>
          <w:highlight w:val="none"/>
        </w:rPr>
      </w:pPr>
    </w:p>
    <w:p w14:paraId="0868818E">
      <w:pPr>
        <w:pStyle w:val="10"/>
        <w:snapToGrid w:val="0"/>
        <w:spacing w:line="360" w:lineRule="auto"/>
        <w:rPr>
          <w:rFonts w:hint="eastAsia" w:ascii="宋体" w:hAnsi="宋体" w:eastAsia="宋体" w:cs="宋体"/>
          <w:snapToGrid w:val="0"/>
          <w:color w:val="auto"/>
          <w:kern w:val="0"/>
          <w:sz w:val="24"/>
          <w:szCs w:val="24"/>
          <w:highlight w:val="none"/>
        </w:rPr>
      </w:pPr>
    </w:p>
    <w:p w14:paraId="5552A703">
      <w:pPr>
        <w:pStyle w:val="10"/>
        <w:snapToGrid w:val="0"/>
        <w:spacing w:line="360" w:lineRule="auto"/>
        <w:rPr>
          <w:rFonts w:hint="eastAsia" w:ascii="宋体" w:hAnsi="宋体" w:eastAsia="宋体" w:cs="宋体"/>
          <w:snapToGrid w:val="0"/>
          <w:color w:val="auto"/>
          <w:kern w:val="0"/>
          <w:sz w:val="24"/>
          <w:szCs w:val="24"/>
          <w:highlight w:val="none"/>
        </w:rPr>
      </w:pPr>
    </w:p>
    <w:p w14:paraId="014D5E95">
      <w:pPr>
        <w:pStyle w:val="10"/>
        <w:snapToGrid w:val="0"/>
        <w:spacing w:line="360" w:lineRule="auto"/>
        <w:rPr>
          <w:rFonts w:hint="eastAsia" w:ascii="宋体" w:hAnsi="宋体" w:eastAsia="宋体" w:cs="宋体"/>
          <w:snapToGrid w:val="0"/>
          <w:color w:val="auto"/>
          <w:kern w:val="0"/>
          <w:sz w:val="24"/>
          <w:szCs w:val="24"/>
          <w:highlight w:val="none"/>
        </w:rPr>
      </w:pPr>
    </w:p>
    <w:p w14:paraId="1D2CBEDA">
      <w:pPr>
        <w:pStyle w:val="1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投标人（盖公章）：</w:t>
      </w:r>
    </w:p>
    <w:p w14:paraId="2F5F6906">
      <w:pPr>
        <w:pStyle w:val="1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r>
        <w:rPr>
          <w:rFonts w:hint="eastAsia" w:ascii="宋体" w:hAnsi="宋体" w:eastAsia="宋体" w:cs="宋体"/>
          <w:snapToGrid w:val="0"/>
          <w:color w:val="auto"/>
          <w:kern w:val="0"/>
          <w:sz w:val="24"/>
          <w:szCs w:val="24"/>
          <w:highlight w:val="none"/>
          <w:lang w:eastAsia="zh-CN"/>
        </w:rPr>
        <w:t>或其委托代理人</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eastAsia="zh-CN"/>
        </w:rPr>
        <w:t>签字或盖章</w:t>
      </w:r>
      <w:r>
        <w:rPr>
          <w:rFonts w:hint="eastAsia" w:ascii="宋体" w:hAnsi="宋体" w:eastAsia="宋体" w:cs="宋体"/>
          <w:snapToGrid w:val="0"/>
          <w:color w:val="auto"/>
          <w:kern w:val="0"/>
          <w:sz w:val="24"/>
          <w:szCs w:val="24"/>
          <w:highlight w:val="none"/>
        </w:rPr>
        <w:t>）：</w:t>
      </w:r>
    </w:p>
    <w:p w14:paraId="499792C8">
      <w:pPr>
        <w:pStyle w:val="5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 xml:space="preserve">      年    月    日</w:t>
      </w:r>
    </w:p>
    <w:p w14:paraId="4C86F690">
      <w:pPr>
        <w:pStyle w:val="50"/>
        <w:adjustRightInd w:val="0"/>
        <w:snapToGrid w:val="0"/>
        <w:spacing w:line="360" w:lineRule="auto"/>
        <w:rPr>
          <w:rFonts w:hint="eastAsia" w:ascii="宋体" w:hAnsi="宋体" w:eastAsia="宋体" w:cs="宋体"/>
          <w:color w:val="auto"/>
          <w:sz w:val="24"/>
          <w:szCs w:val="24"/>
          <w:highlight w:val="none"/>
        </w:rPr>
      </w:pPr>
    </w:p>
    <w:p w14:paraId="7A016B6A">
      <w:pPr>
        <w:pStyle w:val="50"/>
        <w:adjustRightInd w:val="0"/>
        <w:snapToGrid w:val="0"/>
        <w:spacing w:line="360" w:lineRule="auto"/>
        <w:rPr>
          <w:rFonts w:hint="eastAsia" w:ascii="宋体" w:hAnsi="宋体" w:eastAsia="宋体" w:cs="宋体"/>
          <w:color w:val="auto"/>
          <w:sz w:val="24"/>
          <w:szCs w:val="24"/>
          <w:highlight w:val="none"/>
        </w:rPr>
      </w:pPr>
    </w:p>
    <w:p w14:paraId="375C635C">
      <w:pPr>
        <w:pStyle w:val="50"/>
        <w:adjustRightInd w:val="0"/>
        <w:snapToGrid w:val="0"/>
        <w:spacing w:line="360" w:lineRule="auto"/>
        <w:rPr>
          <w:rFonts w:hint="eastAsia" w:ascii="宋体" w:hAnsi="宋体" w:eastAsia="宋体" w:cs="宋体"/>
          <w:color w:val="auto"/>
          <w:sz w:val="24"/>
          <w:szCs w:val="24"/>
          <w:highlight w:val="none"/>
        </w:rPr>
      </w:pPr>
    </w:p>
    <w:p w14:paraId="20E15CA7">
      <w:pPr>
        <w:pStyle w:val="50"/>
        <w:adjustRightInd w:val="0"/>
        <w:snapToGrid w:val="0"/>
        <w:spacing w:line="360" w:lineRule="auto"/>
        <w:rPr>
          <w:rFonts w:hint="eastAsia" w:ascii="宋体" w:hAnsi="宋体" w:eastAsia="宋体" w:cs="宋体"/>
          <w:color w:val="auto"/>
          <w:sz w:val="24"/>
          <w:szCs w:val="24"/>
          <w:highlight w:val="none"/>
        </w:rPr>
      </w:pPr>
    </w:p>
    <w:p w14:paraId="61235A3B">
      <w:pPr>
        <w:pStyle w:val="50"/>
        <w:adjustRightInd w:val="0"/>
        <w:snapToGrid w:val="0"/>
        <w:spacing w:line="360" w:lineRule="auto"/>
        <w:rPr>
          <w:rFonts w:hint="eastAsia" w:ascii="宋体" w:hAnsi="宋体" w:eastAsia="宋体" w:cs="宋体"/>
          <w:color w:val="auto"/>
          <w:sz w:val="24"/>
          <w:szCs w:val="24"/>
          <w:highlight w:val="none"/>
        </w:rPr>
      </w:pPr>
    </w:p>
    <w:p w14:paraId="6B3A4476">
      <w:pPr>
        <w:pStyle w:val="50"/>
        <w:adjustRightInd w:val="0"/>
        <w:snapToGrid w:val="0"/>
        <w:spacing w:line="360" w:lineRule="auto"/>
        <w:rPr>
          <w:rFonts w:hint="eastAsia" w:ascii="宋体" w:hAnsi="宋体" w:eastAsia="宋体" w:cs="宋体"/>
          <w:color w:val="auto"/>
          <w:sz w:val="24"/>
          <w:szCs w:val="24"/>
          <w:highlight w:val="none"/>
        </w:rPr>
      </w:pPr>
    </w:p>
    <w:p w14:paraId="485B82A6">
      <w:pPr>
        <w:pStyle w:val="50"/>
        <w:adjustRightInd w:val="0"/>
        <w:snapToGrid w:val="0"/>
        <w:spacing w:line="360" w:lineRule="auto"/>
        <w:rPr>
          <w:rFonts w:hint="eastAsia" w:ascii="宋体" w:hAnsi="宋体" w:eastAsia="宋体" w:cs="宋体"/>
          <w:color w:val="auto"/>
          <w:sz w:val="24"/>
          <w:szCs w:val="24"/>
          <w:highlight w:val="none"/>
        </w:rPr>
      </w:pPr>
    </w:p>
    <w:p w14:paraId="44AE51C2">
      <w:pPr>
        <w:pStyle w:val="50"/>
        <w:adjustRightInd w:val="0"/>
        <w:snapToGrid w:val="0"/>
        <w:spacing w:line="360" w:lineRule="auto"/>
        <w:rPr>
          <w:rFonts w:hint="eastAsia" w:ascii="宋体" w:hAnsi="宋体" w:eastAsia="宋体" w:cs="宋体"/>
          <w:color w:val="auto"/>
          <w:sz w:val="24"/>
          <w:szCs w:val="24"/>
          <w:highlight w:val="none"/>
        </w:rPr>
      </w:pPr>
    </w:p>
    <w:p w14:paraId="5674A8C5">
      <w:pPr>
        <w:pStyle w:val="50"/>
        <w:adjustRightInd w:val="0"/>
        <w:snapToGrid w:val="0"/>
        <w:spacing w:line="360" w:lineRule="auto"/>
        <w:rPr>
          <w:rFonts w:hint="eastAsia" w:ascii="宋体" w:hAnsi="宋体" w:eastAsia="宋体" w:cs="宋体"/>
          <w:color w:val="auto"/>
          <w:sz w:val="24"/>
          <w:szCs w:val="24"/>
          <w:highlight w:val="none"/>
        </w:rPr>
      </w:pPr>
    </w:p>
    <w:p w14:paraId="31938D0B">
      <w:pPr>
        <w:jc w:val="center"/>
        <w:rPr>
          <w:rFonts w:hint="eastAsia" w:ascii="宋体" w:hAnsi="宋体" w:eastAsia="宋体" w:cs="宋体"/>
          <w:b/>
          <w:bCs/>
          <w:color w:val="auto"/>
          <w:sz w:val="24"/>
          <w:szCs w:val="24"/>
          <w:highlight w:val="none"/>
          <w:lang w:val="en-US" w:eastAsia="zh-CN"/>
        </w:rPr>
      </w:pPr>
    </w:p>
    <w:p w14:paraId="18404770">
      <w:pPr>
        <w:jc w:val="center"/>
        <w:rPr>
          <w:rFonts w:hint="eastAsia" w:ascii="宋体" w:hAnsi="宋体" w:eastAsia="宋体" w:cs="宋体"/>
          <w:b/>
          <w:bCs/>
          <w:color w:val="auto"/>
          <w:sz w:val="24"/>
          <w:szCs w:val="24"/>
          <w:highlight w:val="none"/>
          <w:lang w:val="en-US" w:eastAsia="zh-CN"/>
        </w:rPr>
      </w:pPr>
    </w:p>
    <w:p w14:paraId="34BF7602">
      <w:pPr>
        <w:jc w:val="center"/>
        <w:rPr>
          <w:rFonts w:hint="eastAsia" w:ascii="宋体" w:hAnsi="宋体" w:eastAsia="宋体" w:cs="宋体"/>
          <w:b/>
          <w:bCs/>
          <w:color w:val="auto"/>
          <w:sz w:val="24"/>
          <w:szCs w:val="24"/>
          <w:highlight w:val="none"/>
          <w:lang w:val="en-US" w:eastAsia="zh-CN"/>
        </w:rPr>
      </w:pPr>
    </w:p>
    <w:p w14:paraId="5B4ED9F4">
      <w:pPr>
        <w:jc w:val="center"/>
        <w:rPr>
          <w:rFonts w:hint="eastAsia" w:ascii="宋体" w:hAnsi="宋体" w:eastAsia="宋体" w:cs="宋体"/>
          <w:b/>
          <w:bCs/>
          <w:color w:val="auto"/>
          <w:sz w:val="24"/>
          <w:szCs w:val="24"/>
          <w:highlight w:val="none"/>
          <w:lang w:val="en-US" w:eastAsia="zh-CN"/>
        </w:rPr>
      </w:pPr>
    </w:p>
    <w:p w14:paraId="6FAA5F84">
      <w:pPr>
        <w:jc w:val="center"/>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color w:val="auto"/>
          <w:kern w:val="0"/>
          <w:sz w:val="24"/>
          <w:szCs w:val="24"/>
          <w:highlight w:val="none"/>
        </w:rPr>
        <w:t>技术偏离表</w:t>
      </w:r>
      <w:bookmarkEnd w:id="108"/>
    </w:p>
    <w:p w14:paraId="479753C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投标人应根据其投标文件响应情况，对照招标文件的要求，有差异的，则在表中写明实际响应的具体内容。</w:t>
      </w:r>
    </w:p>
    <w:tbl>
      <w:tblPr>
        <w:tblStyle w:val="24"/>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72"/>
        <w:gridCol w:w="2050"/>
        <w:gridCol w:w="1050"/>
        <w:gridCol w:w="2190"/>
        <w:gridCol w:w="1110"/>
        <w:gridCol w:w="1081"/>
      </w:tblGrid>
      <w:tr w14:paraId="5353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noWrap w:val="0"/>
            <w:vAlign w:val="center"/>
          </w:tcPr>
          <w:p w14:paraId="39ADED8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22" w:type="dxa"/>
            <w:gridSpan w:val="2"/>
            <w:noWrap w:val="0"/>
            <w:vAlign w:val="center"/>
          </w:tcPr>
          <w:p w14:paraId="6BEBCC3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w:t>
            </w:r>
          </w:p>
        </w:tc>
        <w:tc>
          <w:tcPr>
            <w:tcW w:w="3240" w:type="dxa"/>
            <w:gridSpan w:val="2"/>
            <w:noWrap w:val="0"/>
            <w:vAlign w:val="center"/>
          </w:tcPr>
          <w:p w14:paraId="3D4AF45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w:t>
            </w:r>
          </w:p>
        </w:tc>
        <w:tc>
          <w:tcPr>
            <w:tcW w:w="1110" w:type="dxa"/>
            <w:vMerge w:val="restart"/>
            <w:noWrap w:val="0"/>
            <w:vAlign w:val="center"/>
          </w:tcPr>
          <w:p w14:paraId="3433D3B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是否响应</w:t>
            </w:r>
          </w:p>
        </w:tc>
        <w:tc>
          <w:tcPr>
            <w:tcW w:w="1081" w:type="dxa"/>
            <w:vMerge w:val="restart"/>
            <w:noWrap w:val="0"/>
            <w:vAlign w:val="center"/>
          </w:tcPr>
          <w:p w14:paraId="1B84450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3941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noWrap w:val="0"/>
            <w:vAlign w:val="center"/>
          </w:tcPr>
          <w:p w14:paraId="489CA3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13652B2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2050" w:type="dxa"/>
            <w:noWrap w:val="0"/>
            <w:vAlign w:val="center"/>
          </w:tcPr>
          <w:p w14:paraId="12804C5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简要内容</w:t>
            </w:r>
          </w:p>
        </w:tc>
        <w:tc>
          <w:tcPr>
            <w:tcW w:w="1050" w:type="dxa"/>
            <w:noWrap w:val="0"/>
            <w:vAlign w:val="center"/>
          </w:tcPr>
          <w:p w14:paraId="3C072C1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条目</w:t>
            </w:r>
          </w:p>
        </w:tc>
        <w:tc>
          <w:tcPr>
            <w:tcW w:w="2190" w:type="dxa"/>
            <w:noWrap w:val="0"/>
            <w:vAlign w:val="center"/>
          </w:tcPr>
          <w:p w14:paraId="3552A7D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实际响应的具体内容</w:t>
            </w:r>
          </w:p>
        </w:tc>
        <w:tc>
          <w:tcPr>
            <w:tcW w:w="1110" w:type="dxa"/>
            <w:vMerge w:val="continue"/>
            <w:noWrap w:val="0"/>
            <w:vAlign w:val="center"/>
          </w:tcPr>
          <w:p w14:paraId="3DC88869">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vMerge w:val="continue"/>
            <w:noWrap w:val="0"/>
            <w:vAlign w:val="center"/>
          </w:tcPr>
          <w:p w14:paraId="370C6AC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0EF4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2F1EE0B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11F5DF3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6279BBA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50" w:type="dxa"/>
            <w:noWrap w:val="0"/>
            <w:vAlign w:val="center"/>
          </w:tcPr>
          <w:p w14:paraId="4669334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53BBBE4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5991982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2247D63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06A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1D4BE04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30C9F19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23DBFD9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50" w:type="dxa"/>
            <w:noWrap w:val="0"/>
            <w:vAlign w:val="center"/>
          </w:tcPr>
          <w:p w14:paraId="5AFA945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02F9DA5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754243F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314A260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DDA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347957C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25ECA96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42B3C5CC">
            <w:pPr>
              <w:pStyle w:val="7"/>
              <w:rPr>
                <w:rFonts w:hint="eastAsia" w:ascii="宋体" w:hAnsi="宋体" w:eastAsia="宋体" w:cs="宋体"/>
                <w:color w:val="auto"/>
                <w:sz w:val="24"/>
                <w:szCs w:val="24"/>
                <w:highlight w:val="none"/>
              </w:rPr>
            </w:pPr>
          </w:p>
        </w:tc>
        <w:tc>
          <w:tcPr>
            <w:tcW w:w="1050" w:type="dxa"/>
            <w:noWrap w:val="0"/>
            <w:vAlign w:val="center"/>
          </w:tcPr>
          <w:p w14:paraId="12740C9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3355E48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0098A92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093FD8A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030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0" w:type="dxa"/>
            <w:noWrap w:val="0"/>
            <w:vAlign w:val="center"/>
          </w:tcPr>
          <w:p w14:paraId="423F584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43C53983">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020EFB7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50" w:type="dxa"/>
            <w:noWrap w:val="0"/>
            <w:vAlign w:val="center"/>
          </w:tcPr>
          <w:p w14:paraId="74F753E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27B7836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47B9133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235141E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236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25C8B46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664465C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45A1F6B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50" w:type="dxa"/>
            <w:noWrap w:val="0"/>
            <w:vAlign w:val="center"/>
          </w:tcPr>
          <w:p w14:paraId="1234E5E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714E32F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6FEEC40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1503175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42D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6BE654A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5EECBC2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1F0F7523">
            <w:pPr>
              <w:pStyle w:val="7"/>
              <w:rPr>
                <w:rFonts w:hint="eastAsia" w:ascii="宋体" w:hAnsi="宋体" w:eastAsia="宋体" w:cs="宋体"/>
                <w:color w:val="auto"/>
                <w:sz w:val="24"/>
                <w:szCs w:val="24"/>
                <w:highlight w:val="none"/>
              </w:rPr>
            </w:pPr>
          </w:p>
        </w:tc>
        <w:tc>
          <w:tcPr>
            <w:tcW w:w="1050" w:type="dxa"/>
            <w:noWrap w:val="0"/>
            <w:vAlign w:val="center"/>
          </w:tcPr>
          <w:p w14:paraId="2ACA6E6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44DDFC6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19DB0F5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608317A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CDE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11A1EE3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6C3FCDD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2189E04A">
            <w:pPr>
              <w:keepNext w:val="0"/>
              <w:keepLines w:val="0"/>
              <w:numPr>
                <w:ilvl w:val="0"/>
                <w:numId w:val="0"/>
              </w:numPr>
              <w:suppressLineNumbers w:val="0"/>
              <w:adjustRightInd/>
              <w:snapToGrid/>
              <w:spacing w:before="0" w:beforeAutospacing="0" w:after="0" w:afterAutospacing="0" w:line="240" w:lineRule="auto"/>
              <w:ind w:left="0" w:right="0" w:firstLine="0" w:firstLineChars="0"/>
              <w:jc w:val="left"/>
              <w:rPr>
                <w:rFonts w:hint="eastAsia" w:ascii="宋体" w:hAnsi="宋体" w:eastAsia="宋体" w:cs="宋体"/>
                <w:color w:val="auto"/>
                <w:sz w:val="24"/>
                <w:szCs w:val="24"/>
                <w:highlight w:val="none"/>
              </w:rPr>
            </w:pPr>
          </w:p>
        </w:tc>
        <w:tc>
          <w:tcPr>
            <w:tcW w:w="1050" w:type="dxa"/>
            <w:noWrap w:val="0"/>
            <w:vAlign w:val="center"/>
          </w:tcPr>
          <w:p w14:paraId="55F67792">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2E7FF13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5568B2C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7407434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4B4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12A7DE9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07A997C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24C354B8">
            <w:pPr>
              <w:keepNext w:val="0"/>
              <w:keepLines w:val="0"/>
              <w:suppressLineNumbers w:val="0"/>
              <w:adjustRightInd w:val="0"/>
              <w:snapToGrid w:val="0"/>
              <w:spacing w:before="0" w:beforeAutospacing="0" w:after="0" w:afterAutospacing="0"/>
              <w:ind w:left="0" w:right="0"/>
              <w:jc w:val="both"/>
              <w:rPr>
                <w:rFonts w:hint="eastAsia" w:ascii="宋体" w:hAnsi="宋体" w:eastAsia="宋体" w:cs="宋体"/>
                <w:color w:val="auto"/>
                <w:sz w:val="24"/>
                <w:szCs w:val="24"/>
                <w:highlight w:val="none"/>
              </w:rPr>
            </w:pPr>
          </w:p>
        </w:tc>
        <w:tc>
          <w:tcPr>
            <w:tcW w:w="1050" w:type="dxa"/>
            <w:noWrap w:val="0"/>
            <w:vAlign w:val="center"/>
          </w:tcPr>
          <w:p w14:paraId="368A942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00414CD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19EFD42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3B08B86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B2B0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6A57285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6B17E83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0ED4DF7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50" w:type="dxa"/>
            <w:noWrap w:val="0"/>
            <w:vAlign w:val="center"/>
          </w:tcPr>
          <w:p w14:paraId="4D29EAF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5EB2C6A0">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14A1E26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4B75430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FCC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43ED6264">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2B1C8DB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01F49D9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50" w:type="dxa"/>
            <w:noWrap w:val="0"/>
            <w:vAlign w:val="center"/>
          </w:tcPr>
          <w:p w14:paraId="3676A0C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5045D48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74AA15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2499317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419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noWrap w:val="0"/>
            <w:vAlign w:val="center"/>
          </w:tcPr>
          <w:p w14:paraId="5B51A35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2" w:type="dxa"/>
            <w:noWrap w:val="0"/>
            <w:vAlign w:val="center"/>
          </w:tcPr>
          <w:p w14:paraId="0CA669C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50" w:type="dxa"/>
            <w:noWrap w:val="0"/>
            <w:vAlign w:val="center"/>
          </w:tcPr>
          <w:p w14:paraId="58F10AF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50" w:type="dxa"/>
            <w:noWrap w:val="0"/>
            <w:vAlign w:val="center"/>
          </w:tcPr>
          <w:p w14:paraId="0D96BC7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190" w:type="dxa"/>
            <w:noWrap w:val="0"/>
            <w:vAlign w:val="center"/>
          </w:tcPr>
          <w:p w14:paraId="5A25BDA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10" w:type="dxa"/>
            <w:noWrap w:val="0"/>
            <w:vAlign w:val="center"/>
          </w:tcPr>
          <w:p w14:paraId="12530EB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81" w:type="dxa"/>
            <w:noWrap w:val="0"/>
            <w:vAlign w:val="center"/>
          </w:tcPr>
          <w:p w14:paraId="694BD1C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1195A11D">
      <w:pPr>
        <w:pStyle w:val="5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注：1、请投标人在“是否响应”栏内根据响应情况填写“满足、或负偏离、或正偏离”，负偏离或正偏离请在“偏离说明”栏内扼要说明偏离情况。</w:t>
      </w:r>
    </w:p>
    <w:p w14:paraId="20E72504">
      <w:pPr>
        <w:pStyle w:val="5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若投标人未提供或未填写本表，均视作完全响应招标文件要求。</w:t>
      </w:r>
    </w:p>
    <w:p w14:paraId="56DB5131">
      <w:pPr>
        <w:pStyle w:val="50"/>
        <w:adjustRightInd w:val="0"/>
        <w:snapToGrid w:val="0"/>
        <w:spacing w:line="360" w:lineRule="auto"/>
        <w:ind w:firstLine="480" w:firstLineChars="200"/>
        <w:rPr>
          <w:rFonts w:hint="eastAsia" w:ascii="宋体" w:hAnsi="宋体" w:eastAsia="宋体" w:cs="宋体"/>
          <w:color w:val="auto"/>
          <w:sz w:val="24"/>
          <w:szCs w:val="24"/>
          <w:highlight w:val="none"/>
        </w:rPr>
      </w:pPr>
    </w:p>
    <w:p w14:paraId="0606D9A0">
      <w:pPr>
        <w:pStyle w:val="50"/>
        <w:adjustRightInd w:val="0"/>
        <w:snapToGrid w:val="0"/>
        <w:spacing w:line="360" w:lineRule="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投标人（盖公章）：</w:t>
      </w:r>
    </w:p>
    <w:p w14:paraId="266DB9DA">
      <w:pPr>
        <w:pStyle w:val="50"/>
        <w:adjustRightInd w:val="0"/>
        <w:snapToGrid w:val="0"/>
        <w:spacing w:line="360" w:lineRule="auto"/>
        <w:rPr>
          <w:rFonts w:hint="eastAsia" w:ascii="宋体" w:hAnsi="宋体" w:eastAsia="宋体" w:cs="宋体"/>
          <w:snapToGrid/>
          <w:color w:val="auto"/>
          <w:kern w:val="0"/>
          <w:sz w:val="24"/>
          <w:szCs w:val="24"/>
          <w:highlight w:val="none"/>
        </w:rPr>
      </w:pPr>
      <w:r>
        <w:rPr>
          <w:rFonts w:hint="eastAsia" w:ascii="宋体" w:hAnsi="宋体" w:eastAsia="宋体" w:cs="宋体"/>
          <w:snapToGrid/>
          <w:color w:val="auto"/>
          <w:kern w:val="0"/>
          <w:sz w:val="24"/>
          <w:szCs w:val="24"/>
          <w:highlight w:val="none"/>
        </w:rPr>
        <w:t>法定代表人</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lang w:val="en-US" w:eastAsia="zh-CN"/>
        </w:rPr>
        <w:t>负责人</w:t>
      </w:r>
      <w:r>
        <w:rPr>
          <w:rFonts w:hint="eastAsia" w:ascii="宋体" w:hAnsi="宋体" w:eastAsia="宋体" w:cs="宋体"/>
          <w:snapToGrid/>
          <w:color w:val="auto"/>
          <w:kern w:val="0"/>
          <w:sz w:val="24"/>
          <w:szCs w:val="24"/>
          <w:highlight w:val="none"/>
          <w:lang w:eastAsia="zh-CN"/>
        </w:rPr>
        <w:t>）</w:t>
      </w:r>
      <w:r>
        <w:rPr>
          <w:rFonts w:hint="eastAsia" w:ascii="宋体" w:hAnsi="宋体" w:eastAsia="宋体" w:cs="宋体"/>
          <w:snapToGrid/>
          <w:color w:val="auto"/>
          <w:kern w:val="0"/>
          <w:sz w:val="24"/>
          <w:szCs w:val="24"/>
          <w:highlight w:val="none"/>
        </w:rPr>
        <w:t>或其委托代理人（签字或盖章）：</w:t>
      </w:r>
    </w:p>
    <w:p w14:paraId="20F58BCB">
      <w:pPr>
        <w:pStyle w:val="5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日期：</w:t>
      </w:r>
      <w:r>
        <w:rPr>
          <w:rFonts w:hint="eastAsia" w:ascii="宋体" w:hAnsi="宋体" w:eastAsia="宋体" w:cs="宋体"/>
          <w:color w:val="auto"/>
          <w:sz w:val="24"/>
          <w:szCs w:val="24"/>
          <w:highlight w:val="none"/>
        </w:rPr>
        <w:t xml:space="preserve">      年    月    日</w:t>
      </w:r>
    </w:p>
    <w:p w14:paraId="0249BB71">
      <w:pPr>
        <w:pStyle w:val="50"/>
        <w:adjustRightInd w:val="0"/>
        <w:snapToGrid w:val="0"/>
        <w:spacing w:line="360" w:lineRule="auto"/>
        <w:rPr>
          <w:rFonts w:hint="eastAsia" w:ascii="宋体" w:hAnsi="宋体" w:eastAsia="宋体" w:cs="宋体"/>
          <w:color w:val="auto"/>
          <w:sz w:val="24"/>
          <w:szCs w:val="24"/>
          <w:highlight w:val="none"/>
        </w:rPr>
      </w:pPr>
    </w:p>
    <w:p w14:paraId="4B41446B">
      <w:pPr>
        <w:pStyle w:val="50"/>
        <w:adjustRightInd w:val="0"/>
        <w:snapToGrid w:val="0"/>
        <w:spacing w:line="360" w:lineRule="auto"/>
        <w:rPr>
          <w:rFonts w:hint="eastAsia" w:ascii="宋体" w:hAnsi="宋体" w:eastAsia="宋体" w:cs="宋体"/>
          <w:color w:val="auto"/>
          <w:sz w:val="24"/>
          <w:szCs w:val="24"/>
          <w:highlight w:val="none"/>
        </w:rPr>
      </w:pPr>
    </w:p>
    <w:p w14:paraId="11930E52">
      <w:pPr>
        <w:spacing w:line="360" w:lineRule="auto"/>
        <w:jc w:val="center"/>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4"/>
          <w:szCs w:val="24"/>
          <w:highlight w:val="none"/>
        </w:rPr>
        <w:br w:type="page"/>
      </w:r>
      <w:bookmarkStart w:id="109" w:name="_Toc2511"/>
    </w:p>
    <w:p w14:paraId="3323B199">
      <w:pPr>
        <w:pStyle w:val="7"/>
        <w:rPr>
          <w:rFonts w:hint="eastAsia" w:ascii="宋体" w:hAnsi="宋体" w:eastAsia="宋体" w:cs="宋体"/>
          <w:color w:val="auto"/>
          <w:highlight w:val="none"/>
          <w:lang w:val="en-US" w:eastAsia="zh-CN"/>
        </w:rPr>
      </w:pPr>
    </w:p>
    <w:p w14:paraId="414B8485">
      <w:pPr>
        <w:pStyle w:val="4"/>
        <w:jc w:val="center"/>
        <w:rPr>
          <w:rFonts w:hint="eastAsia" w:ascii="宋体" w:hAnsi="宋体" w:eastAsia="宋体" w:cs="宋体"/>
          <w:bCs w:val="0"/>
          <w:color w:val="auto"/>
          <w:sz w:val="24"/>
          <w:szCs w:val="24"/>
          <w:highlight w:val="none"/>
          <w:lang w:val="zh-CN"/>
        </w:rPr>
      </w:pPr>
      <w:r>
        <w:rPr>
          <w:rFonts w:hint="eastAsia" w:ascii="宋体" w:hAnsi="宋体" w:eastAsia="宋体" w:cs="宋体"/>
          <w:bCs w:val="0"/>
          <w:color w:val="auto"/>
          <w:sz w:val="24"/>
          <w:szCs w:val="24"/>
          <w:highlight w:val="none"/>
          <w:lang w:val="en-US" w:eastAsia="zh-CN"/>
        </w:rPr>
        <w:t>四、</w:t>
      </w:r>
      <w:r>
        <w:rPr>
          <w:rFonts w:hint="eastAsia" w:ascii="宋体" w:hAnsi="宋体" w:eastAsia="宋体" w:cs="宋体"/>
          <w:bCs w:val="0"/>
          <w:color w:val="auto"/>
          <w:sz w:val="24"/>
          <w:szCs w:val="24"/>
          <w:highlight w:val="none"/>
          <w:lang w:val="zh-CN"/>
        </w:rPr>
        <w:t>投标人认为有必要的其他内容</w:t>
      </w:r>
      <w:bookmarkEnd w:id="109"/>
    </w:p>
    <w:p w14:paraId="6877E2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（包括与评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有关的内容）</w:t>
      </w:r>
    </w:p>
    <w:p w14:paraId="6E37426D">
      <w:pPr>
        <w:jc w:val="center"/>
        <w:rPr>
          <w:rFonts w:hint="eastAsia" w:ascii="宋体" w:hAnsi="宋体" w:eastAsia="宋体" w:cs="宋体"/>
          <w:color w:val="auto"/>
          <w:sz w:val="24"/>
          <w:szCs w:val="24"/>
          <w:highlight w:val="none"/>
        </w:rPr>
      </w:pPr>
    </w:p>
    <w:p w14:paraId="0F59C59C">
      <w:pPr>
        <w:jc w:val="center"/>
        <w:rPr>
          <w:rFonts w:hint="eastAsia" w:ascii="宋体" w:hAnsi="宋体" w:eastAsia="宋体" w:cs="宋体"/>
          <w:color w:val="auto"/>
          <w:sz w:val="24"/>
          <w:szCs w:val="24"/>
          <w:highlight w:val="none"/>
        </w:rPr>
      </w:pPr>
    </w:p>
    <w:p w14:paraId="76740745">
      <w:pPr>
        <w:jc w:val="center"/>
        <w:rPr>
          <w:rFonts w:hint="eastAsia" w:ascii="宋体" w:hAnsi="宋体" w:eastAsia="宋体" w:cs="宋体"/>
          <w:color w:val="auto"/>
          <w:sz w:val="24"/>
          <w:szCs w:val="24"/>
          <w:highlight w:val="none"/>
        </w:rPr>
      </w:pPr>
    </w:p>
    <w:p w14:paraId="0ACE0B7C">
      <w:pPr>
        <w:jc w:val="center"/>
        <w:rPr>
          <w:rFonts w:hint="eastAsia" w:ascii="宋体" w:hAnsi="宋体" w:eastAsia="宋体" w:cs="宋体"/>
          <w:color w:val="auto"/>
          <w:sz w:val="24"/>
          <w:szCs w:val="24"/>
          <w:highlight w:val="none"/>
        </w:rPr>
      </w:pPr>
    </w:p>
    <w:p w14:paraId="2244BEB3">
      <w:pPr>
        <w:jc w:val="center"/>
        <w:rPr>
          <w:rFonts w:hint="eastAsia" w:ascii="宋体" w:hAnsi="宋体" w:eastAsia="宋体" w:cs="宋体"/>
          <w:color w:val="auto"/>
          <w:sz w:val="24"/>
          <w:szCs w:val="24"/>
          <w:highlight w:val="none"/>
        </w:rPr>
      </w:pPr>
    </w:p>
    <w:p w14:paraId="75501F11">
      <w:pPr>
        <w:jc w:val="center"/>
        <w:rPr>
          <w:rFonts w:hint="eastAsia" w:ascii="宋体" w:hAnsi="宋体" w:eastAsia="宋体" w:cs="宋体"/>
          <w:color w:val="auto"/>
          <w:sz w:val="24"/>
          <w:szCs w:val="24"/>
          <w:highlight w:val="none"/>
        </w:rPr>
      </w:pPr>
    </w:p>
    <w:p w14:paraId="1C393ED0">
      <w:pPr>
        <w:jc w:val="center"/>
        <w:rPr>
          <w:rFonts w:hint="eastAsia" w:ascii="宋体" w:hAnsi="宋体" w:eastAsia="宋体" w:cs="宋体"/>
          <w:color w:val="auto"/>
          <w:sz w:val="24"/>
          <w:szCs w:val="24"/>
          <w:highlight w:val="none"/>
        </w:rPr>
      </w:pPr>
    </w:p>
    <w:p w14:paraId="0AF3B58D">
      <w:pPr>
        <w:jc w:val="center"/>
        <w:rPr>
          <w:rFonts w:hint="eastAsia" w:ascii="宋体" w:hAnsi="宋体" w:eastAsia="宋体" w:cs="宋体"/>
          <w:color w:val="auto"/>
          <w:sz w:val="24"/>
          <w:szCs w:val="24"/>
          <w:highlight w:val="none"/>
        </w:rPr>
      </w:pPr>
    </w:p>
    <w:p w14:paraId="31E70AAE">
      <w:pPr>
        <w:jc w:val="center"/>
        <w:rPr>
          <w:rFonts w:hint="eastAsia" w:ascii="宋体" w:hAnsi="宋体" w:eastAsia="宋体" w:cs="宋体"/>
          <w:color w:val="auto"/>
          <w:sz w:val="24"/>
          <w:szCs w:val="24"/>
          <w:highlight w:val="none"/>
        </w:rPr>
      </w:pPr>
    </w:p>
    <w:p w14:paraId="79152E1B">
      <w:pPr>
        <w:jc w:val="center"/>
        <w:rPr>
          <w:rFonts w:hint="eastAsia" w:ascii="宋体" w:hAnsi="宋体" w:eastAsia="宋体" w:cs="宋体"/>
          <w:color w:val="auto"/>
          <w:sz w:val="24"/>
          <w:szCs w:val="24"/>
          <w:highlight w:val="none"/>
        </w:rPr>
      </w:pPr>
    </w:p>
    <w:p w14:paraId="61F8A137">
      <w:pPr>
        <w:jc w:val="center"/>
        <w:rPr>
          <w:rFonts w:hint="eastAsia" w:ascii="宋体" w:hAnsi="宋体" w:eastAsia="宋体" w:cs="宋体"/>
          <w:color w:val="auto"/>
          <w:sz w:val="24"/>
          <w:szCs w:val="24"/>
          <w:highlight w:val="none"/>
        </w:rPr>
      </w:pPr>
    </w:p>
    <w:p w14:paraId="1B520094">
      <w:pPr>
        <w:jc w:val="center"/>
        <w:rPr>
          <w:rFonts w:hint="eastAsia" w:ascii="宋体" w:hAnsi="宋体" w:eastAsia="宋体" w:cs="宋体"/>
          <w:color w:val="auto"/>
          <w:sz w:val="24"/>
          <w:szCs w:val="24"/>
          <w:highlight w:val="none"/>
        </w:rPr>
      </w:pPr>
    </w:p>
    <w:p w14:paraId="090CE458">
      <w:pPr>
        <w:jc w:val="center"/>
        <w:rPr>
          <w:rFonts w:hint="eastAsia" w:ascii="宋体" w:hAnsi="宋体" w:eastAsia="宋体" w:cs="宋体"/>
          <w:color w:val="auto"/>
          <w:sz w:val="24"/>
          <w:szCs w:val="24"/>
          <w:highlight w:val="none"/>
        </w:rPr>
      </w:pPr>
    </w:p>
    <w:p w14:paraId="26D128FF">
      <w:pPr>
        <w:jc w:val="center"/>
        <w:rPr>
          <w:rFonts w:hint="eastAsia" w:ascii="宋体" w:hAnsi="宋体" w:eastAsia="宋体" w:cs="宋体"/>
          <w:color w:val="auto"/>
          <w:sz w:val="24"/>
          <w:szCs w:val="24"/>
          <w:highlight w:val="none"/>
        </w:rPr>
      </w:pPr>
    </w:p>
    <w:p w14:paraId="5E42E8FF">
      <w:pPr>
        <w:jc w:val="center"/>
        <w:rPr>
          <w:rFonts w:hint="eastAsia" w:ascii="宋体" w:hAnsi="宋体" w:eastAsia="宋体" w:cs="宋体"/>
          <w:color w:val="auto"/>
          <w:sz w:val="24"/>
          <w:szCs w:val="24"/>
          <w:highlight w:val="none"/>
        </w:rPr>
      </w:pPr>
    </w:p>
    <w:p w14:paraId="7635BD0E">
      <w:pPr>
        <w:jc w:val="center"/>
        <w:rPr>
          <w:rFonts w:hint="eastAsia" w:ascii="宋体" w:hAnsi="宋体" w:eastAsia="宋体" w:cs="宋体"/>
          <w:color w:val="auto"/>
          <w:sz w:val="24"/>
          <w:szCs w:val="24"/>
          <w:highlight w:val="none"/>
        </w:rPr>
      </w:pPr>
    </w:p>
    <w:p w14:paraId="5503F8AB">
      <w:pPr>
        <w:jc w:val="center"/>
        <w:rPr>
          <w:rFonts w:hint="eastAsia" w:ascii="宋体" w:hAnsi="宋体" w:eastAsia="宋体" w:cs="宋体"/>
          <w:color w:val="auto"/>
          <w:sz w:val="24"/>
          <w:szCs w:val="24"/>
          <w:highlight w:val="none"/>
        </w:rPr>
      </w:pPr>
    </w:p>
    <w:p w14:paraId="4B0A3213">
      <w:pPr>
        <w:jc w:val="center"/>
        <w:rPr>
          <w:rFonts w:hint="eastAsia" w:ascii="宋体" w:hAnsi="宋体" w:eastAsia="宋体" w:cs="宋体"/>
          <w:color w:val="auto"/>
          <w:sz w:val="24"/>
          <w:szCs w:val="24"/>
          <w:highlight w:val="none"/>
        </w:rPr>
      </w:pPr>
    </w:p>
    <w:p w14:paraId="3BCA2DB7">
      <w:pPr>
        <w:jc w:val="center"/>
        <w:rPr>
          <w:rFonts w:hint="eastAsia" w:ascii="宋体" w:hAnsi="宋体" w:eastAsia="宋体" w:cs="宋体"/>
          <w:color w:val="auto"/>
          <w:sz w:val="24"/>
          <w:szCs w:val="24"/>
          <w:highlight w:val="none"/>
        </w:rPr>
      </w:pPr>
    </w:p>
    <w:p w14:paraId="2F3FBCC2">
      <w:pPr>
        <w:jc w:val="center"/>
        <w:rPr>
          <w:rFonts w:hint="eastAsia" w:ascii="宋体" w:hAnsi="宋体" w:eastAsia="宋体" w:cs="宋体"/>
          <w:color w:val="auto"/>
          <w:sz w:val="24"/>
          <w:szCs w:val="24"/>
          <w:highlight w:val="none"/>
        </w:rPr>
      </w:pPr>
    </w:p>
    <w:bookmarkEnd w:id="102"/>
    <w:p w14:paraId="2A57D094">
      <w:pPr>
        <w:rPr>
          <w:rFonts w:hint="eastAsia" w:ascii="宋体" w:hAnsi="宋体" w:eastAsia="宋体" w:cs="宋体"/>
          <w:b w:val="0"/>
          <w:bCs/>
          <w:color w:val="auto"/>
          <w:kern w:val="44"/>
          <w:sz w:val="32"/>
          <w:szCs w:val="32"/>
          <w:highlight w:val="none"/>
        </w:rPr>
      </w:pPr>
      <w:bookmarkStart w:id="110" w:name="_Toc83886047"/>
      <w:bookmarkStart w:id="111" w:name="_Toc1923"/>
      <w:r>
        <w:rPr>
          <w:rFonts w:hint="eastAsia" w:ascii="宋体" w:hAnsi="宋体" w:eastAsia="宋体" w:cs="宋体"/>
          <w:b w:val="0"/>
          <w:bCs/>
          <w:color w:val="auto"/>
          <w:kern w:val="44"/>
          <w:sz w:val="32"/>
          <w:szCs w:val="32"/>
          <w:highlight w:val="none"/>
        </w:rPr>
        <w:br w:type="page"/>
      </w:r>
    </w:p>
    <w:p w14:paraId="249CC38E">
      <w:pPr>
        <w:pStyle w:val="2"/>
        <w:widowControl/>
        <w:numPr>
          <w:ilvl w:val="0"/>
          <w:numId w:val="4"/>
        </w:numPr>
        <w:adjustRightInd w:val="0"/>
        <w:snapToGrid w:val="0"/>
        <w:spacing w:before="0" w:beforeAutospacing="0" w:after="0" w:afterAutospacing="0" w:line="360" w:lineRule="auto"/>
        <w:ind w:left="0" w:leftChars="0" w:firstLine="0" w:firstLineChars="0"/>
        <w:jc w:val="center"/>
        <w:rPr>
          <w:rFonts w:hint="eastAsia" w:ascii="宋体" w:hAnsi="宋体" w:eastAsia="宋体" w:cs="宋体"/>
          <w:b w:val="0"/>
          <w:bCs/>
          <w:color w:val="auto"/>
          <w:kern w:val="44"/>
          <w:sz w:val="32"/>
          <w:szCs w:val="32"/>
          <w:highlight w:val="none"/>
        </w:rPr>
      </w:pPr>
      <w:r>
        <w:rPr>
          <w:rFonts w:hint="eastAsia" w:ascii="宋体" w:hAnsi="宋体" w:eastAsia="宋体" w:cs="宋体"/>
          <w:b w:val="0"/>
          <w:bCs/>
          <w:color w:val="auto"/>
          <w:kern w:val="44"/>
          <w:sz w:val="32"/>
          <w:szCs w:val="32"/>
          <w:highlight w:val="none"/>
        </w:rPr>
        <w:t xml:space="preserve"> 合同条款及格式</w:t>
      </w:r>
    </w:p>
    <w:p w14:paraId="1A55CD76">
      <w:pPr>
        <w:pStyle w:val="2"/>
        <w:widowControl/>
        <w:numPr>
          <w:ilvl w:val="0"/>
          <w:numId w:val="0"/>
        </w:numPr>
        <w:adjustRightInd w:val="0"/>
        <w:snapToGrid w:val="0"/>
        <w:spacing w:before="0" w:beforeAutospacing="0" w:after="0" w:afterAutospacing="0" w:line="360" w:lineRule="auto"/>
        <w:ind w:leftChars="0"/>
        <w:jc w:val="center"/>
        <w:rPr>
          <w:rFonts w:hint="eastAsia" w:ascii="宋体" w:hAnsi="宋体" w:eastAsia="宋体" w:cs="宋体"/>
          <w:b w:val="0"/>
          <w:bCs/>
          <w:color w:val="auto"/>
          <w:kern w:val="44"/>
          <w:sz w:val="24"/>
          <w:szCs w:val="24"/>
          <w:highlight w:val="none"/>
        </w:rPr>
      </w:pPr>
      <w:r>
        <w:rPr>
          <w:rFonts w:hint="eastAsia" w:ascii="宋体" w:hAnsi="宋体" w:eastAsia="宋体" w:cs="宋体"/>
          <w:b w:val="0"/>
          <w:bCs/>
          <w:color w:val="auto"/>
          <w:kern w:val="44"/>
          <w:sz w:val="24"/>
          <w:szCs w:val="24"/>
          <w:highlight w:val="none"/>
        </w:rPr>
        <w:t>（仅供参考，以实际签订为准</w:t>
      </w:r>
      <w:r>
        <w:rPr>
          <w:rFonts w:hint="eastAsia" w:ascii="宋体" w:hAnsi="宋体" w:cs="宋体"/>
          <w:b w:val="0"/>
          <w:bCs/>
          <w:color w:val="auto"/>
          <w:kern w:val="44"/>
          <w:sz w:val="24"/>
          <w:szCs w:val="24"/>
          <w:highlight w:val="none"/>
          <w:lang w:eastAsia="zh-CN"/>
        </w:rPr>
        <w:t>，</w:t>
      </w:r>
      <w:r>
        <w:rPr>
          <w:rFonts w:hint="eastAsia" w:ascii="宋体" w:hAnsi="宋体" w:cs="宋体"/>
          <w:b w:val="0"/>
          <w:bCs/>
          <w:color w:val="auto"/>
          <w:kern w:val="44"/>
          <w:sz w:val="24"/>
          <w:szCs w:val="24"/>
          <w:highlight w:val="none"/>
          <w:lang w:val="en-US" w:eastAsia="zh-CN"/>
        </w:rPr>
        <w:t>与采购人分别签订</w:t>
      </w:r>
      <w:r>
        <w:rPr>
          <w:rFonts w:hint="eastAsia" w:ascii="宋体" w:hAnsi="宋体" w:eastAsia="宋体" w:cs="宋体"/>
          <w:b w:val="0"/>
          <w:bCs/>
          <w:color w:val="auto"/>
          <w:kern w:val="44"/>
          <w:sz w:val="24"/>
          <w:szCs w:val="24"/>
          <w:highlight w:val="none"/>
        </w:rPr>
        <w:t>）</w:t>
      </w:r>
    </w:p>
    <w:bookmarkEnd w:id="0"/>
    <w:bookmarkEnd w:id="110"/>
    <w:bookmarkEnd w:id="111"/>
    <w:p w14:paraId="0176F521">
      <w:pPr>
        <w:shd w:val="clear" w:color="auto" w:fill="auto"/>
        <w:spacing w:line="440" w:lineRule="exact"/>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甲方：</w:t>
      </w:r>
    </w:p>
    <w:p w14:paraId="54BDE735">
      <w:pPr>
        <w:shd w:val="clear" w:color="auto" w:fill="auto"/>
        <w:spacing w:line="440" w:lineRule="exact"/>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乙方：</w:t>
      </w:r>
    </w:p>
    <w:p w14:paraId="5E486839">
      <w:pPr>
        <w:pStyle w:val="16"/>
        <w:shd w:val="clear" w:color="auto" w:fill="auto"/>
        <w:spacing w:line="440" w:lineRule="exact"/>
        <w:ind w:firstLine="432"/>
        <w:outlineLvl w:val="6"/>
        <w:rPr>
          <w:rFonts w:hint="eastAsia" w:ascii="宋体" w:hAnsi="宋体" w:eastAsia="宋体" w:cs="宋体"/>
          <w:color w:val="000000"/>
          <w:spacing w:val="3"/>
          <w:sz w:val="24"/>
          <w:szCs w:val="24"/>
          <w:highlight w:val="none"/>
        </w:rPr>
      </w:pPr>
      <w:r>
        <w:rPr>
          <w:rFonts w:hint="eastAsia" w:ascii="宋体" w:hAnsi="宋体" w:eastAsia="宋体" w:cs="宋体"/>
          <w:snapToGrid w:val="0"/>
          <w:color w:val="000000"/>
          <w:spacing w:val="3"/>
          <w:sz w:val="24"/>
          <w:szCs w:val="24"/>
          <w:highlight w:val="none"/>
        </w:rPr>
        <w:t>为明确双方权利、义务</w:t>
      </w:r>
      <w:r>
        <w:rPr>
          <w:rFonts w:hint="eastAsia" w:ascii="宋体" w:hAnsi="宋体" w:eastAsia="宋体" w:cs="宋体"/>
          <w:color w:val="000000"/>
          <w:spacing w:val="3"/>
          <w:sz w:val="24"/>
          <w:szCs w:val="24"/>
          <w:highlight w:val="none"/>
        </w:rPr>
        <w:t>，经甲乙双方协商达成如下协议：</w:t>
      </w:r>
    </w:p>
    <w:p w14:paraId="7B69F717">
      <w:pPr>
        <w:shd w:val="clear" w:color="auto" w:fill="auto"/>
        <w:spacing w:line="440" w:lineRule="exact"/>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一、说明</w:t>
      </w:r>
    </w:p>
    <w:p w14:paraId="5AACA7F4">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1.合同基本条款是指采购人（以下简称甲方）和成交供应商（以下简称乙方）应共同遵守的基本原则，并作为双方签约的依据。对于合同的其他条款，双方应本着互谅互让的精神协商解决。</w:t>
      </w:r>
    </w:p>
    <w:p w14:paraId="6CF45A95">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2.制定“合同主要条款”的依据是《中华人民共和国民法典》及其相关司法解释。</w:t>
      </w:r>
    </w:p>
    <w:p w14:paraId="398EB6F8">
      <w:pPr>
        <w:shd w:val="clear" w:color="auto" w:fill="auto"/>
        <w:spacing w:line="440" w:lineRule="exact"/>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二、合同金额</w:t>
      </w:r>
    </w:p>
    <w:tbl>
      <w:tblPr>
        <w:tblStyle w:val="24"/>
        <w:tblW w:w="41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959"/>
        <w:gridCol w:w="1608"/>
        <w:gridCol w:w="1593"/>
        <w:gridCol w:w="1599"/>
      </w:tblGrid>
      <w:tr w14:paraId="4ED57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42" w:type="pct"/>
            <w:noWrap w:val="0"/>
            <w:vAlign w:val="center"/>
          </w:tcPr>
          <w:p w14:paraId="51EAA6F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名称</w:t>
            </w:r>
          </w:p>
        </w:tc>
        <w:tc>
          <w:tcPr>
            <w:tcW w:w="1176" w:type="pct"/>
            <w:noWrap w:val="0"/>
            <w:vAlign w:val="center"/>
          </w:tcPr>
          <w:p w14:paraId="67382560">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技术参数</w:t>
            </w:r>
          </w:p>
        </w:tc>
        <w:tc>
          <w:tcPr>
            <w:tcW w:w="965" w:type="pct"/>
            <w:noWrap w:val="0"/>
            <w:vAlign w:val="center"/>
          </w:tcPr>
          <w:p w14:paraId="0900A112">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预估数量（吨）</w:t>
            </w:r>
          </w:p>
        </w:tc>
        <w:tc>
          <w:tcPr>
            <w:tcW w:w="956" w:type="pct"/>
            <w:noWrap w:val="0"/>
            <w:vAlign w:val="center"/>
          </w:tcPr>
          <w:p w14:paraId="5F50DEBF">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单价</w:t>
            </w:r>
          </w:p>
          <w:p w14:paraId="19E589FA">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（元/吨）</w:t>
            </w:r>
          </w:p>
        </w:tc>
        <w:tc>
          <w:tcPr>
            <w:tcW w:w="959" w:type="pct"/>
            <w:noWrap w:val="0"/>
            <w:vAlign w:val="center"/>
          </w:tcPr>
          <w:p w14:paraId="5D401418">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小计</w:t>
            </w:r>
          </w:p>
        </w:tc>
      </w:tr>
      <w:tr w14:paraId="4513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942" w:type="pct"/>
            <w:noWrap w:val="0"/>
            <w:vAlign w:val="center"/>
          </w:tcPr>
          <w:p w14:paraId="08063493">
            <w:pPr>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片碱（固体</w:t>
            </w:r>
            <w:r>
              <w:rPr>
                <w:rFonts w:hint="eastAsia" w:ascii="宋体" w:hAnsi="宋体" w:eastAsia="宋体" w:cs="宋体"/>
                <w:bCs/>
                <w:color w:val="000000"/>
                <w:sz w:val="24"/>
                <w:szCs w:val="24"/>
                <w:lang w:val="en-US" w:eastAsia="zh-CN"/>
              </w:rPr>
              <w:t>工业用氢氧化钠</w:t>
            </w:r>
            <w:r>
              <w:rPr>
                <w:rFonts w:hint="eastAsia" w:ascii="宋体" w:hAnsi="宋体" w:eastAsia="宋体" w:cs="宋体"/>
                <w:color w:val="000000"/>
                <w:sz w:val="24"/>
                <w:szCs w:val="24"/>
                <w:lang w:val="en-US" w:eastAsia="zh-CN"/>
              </w:rPr>
              <w:t>）</w:t>
            </w:r>
          </w:p>
        </w:tc>
        <w:tc>
          <w:tcPr>
            <w:tcW w:w="1176" w:type="pct"/>
            <w:noWrap w:val="0"/>
            <w:vAlign w:val="center"/>
          </w:tcPr>
          <w:p w14:paraId="6014BE0B">
            <w:pPr>
              <w:spacing w:line="360" w:lineRule="auto"/>
              <w:jc w:val="center"/>
              <w:rPr>
                <w:rFonts w:hint="eastAsia" w:ascii="宋体" w:hAnsi="宋体" w:eastAsia="宋体" w:cs="宋体"/>
                <w:color w:val="000000"/>
                <w:sz w:val="24"/>
                <w:szCs w:val="24"/>
              </w:rPr>
            </w:pPr>
            <w:r>
              <w:rPr>
                <w:rFonts w:hint="eastAsia" w:ascii="宋体" w:hAnsi="宋体" w:eastAsia="宋体" w:cs="宋体"/>
                <w:i w:val="0"/>
                <w:iCs w:val="0"/>
                <w:color w:val="000000"/>
                <w:kern w:val="2"/>
                <w:sz w:val="24"/>
                <w:szCs w:val="24"/>
                <w:u w:val="none"/>
                <w:lang w:val="en-US" w:eastAsia="zh-CN" w:bidi="ar-SA"/>
              </w:rPr>
              <w:t>25KG/袋，氢氧化钠</w:t>
            </w:r>
            <w:r>
              <w:rPr>
                <w:rFonts w:hint="eastAsia" w:ascii="宋体" w:hAnsi="宋体" w:eastAsia="宋体" w:cs="宋体"/>
                <w:i w:val="0"/>
                <w:iCs w:val="0"/>
                <w:color w:val="000000"/>
                <w:kern w:val="2"/>
                <w:sz w:val="24"/>
                <w:szCs w:val="24"/>
                <w:highlight w:val="none"/>
                <w:u w:val="none"/>
                <w:lang w:val="en-US" w:eastAsia="zh-CN" w:bidi="ar-SA"/>
              </w:rPr>
              <w:t>含量</w:t>
            </w:r>
            <w:r>
              <w:rPr>
                <w:rFonts w:hint="eastAsia" w:ascii="宋体" w:hAnsi="宋体" w:eastAsia="宋体" w:cs="宋体"/>
                <w:i w:val="0"/>
                <w:iCs w:val="0"/>
                <w:color w:val="000000"/>
                <w:kern w:val="2"/>
                <w:sz w:val="24"/>
                <w:szCs w:val="24"/>
                <w:u w:val="none"/>
                <w:lang w:val="en-US" w:eastAsia="zh-CN" w:bidi="ar-SA"/>
              </w:rPr>
              <w:t>≥98%，</w:t>
            </w:r>
            <w:r>
              <w:rPr>
                <w:rFonts w:hint="eastAsia" w:ascii="宋体" w:hAnsi="宋体" w:eastAsia="宋体" w:cs="宋体"/>
                <w:color w:val="000000"/>
                <w:sz w:val="24"/>
                <w:szCs w:val="24"/>
              </w:rPr>
              <w:t>质量</w:t>
            </w:r>
            <w:r>
              <w:rPr>
                <w:rFonts w:hint="eastAsia" w:ascii="宋体" w:hAnsi="宋体" w:eastAsia="宋体" w:cs="宋体"/>
                <w:color w:val="000000"/>
                <w:sz w:val="24"/>
                <w:szCs w:val="24"/>
                <w:lang w:val="en-US" w:eastAsia="zh-CN"/>
              </w:rPr>
              <w:t>符合</w:t>
            </w:r>
            <w:r>
              <w:rPr>
                <w:rFonts w:hint="eastAsia" w:ascii="宋体" w:hAnsi="宋体" w:eastAsia="宋体" w:cs="宋体"/>
                <w:color w:val="000000"/>
                <w:sz w:val="24"/>
                <w:szCs w:val="24"/>
              </w:rPr>
              <w:t>国家标准GB/T209-2018</w:t>
            </w:r>
            <w:r>
              <w:rPr>
                <w:rFonts w:hint="eastAsia" w:ascii="宋体" w:hAnsi="宋体" w:eastAsia="宋体" w:cs="宋体"/>
                <w:i w:val="0"/>
                <w:iCs w:val="0"/>
                <w:color w:val="000000"/>
                <w:kern w:val="2"/>
                <w:sz w:val="24"/>
                <w:szCs w:val="24"/>
                <w:u w:val="none"/>
                <w:lang w:val="en-US" w:eastAsia="zh-CN" w:bidi="ar-SA"/>
              </w:rPr>
              <w:t>表1中IS Ⅰ类标准。</w:t>
            </w:r>
          </w:p>
        </w:tc>
        <w:tc>
          <w:tcPr>
            <w:tcW w:w="965" w:type="pct"/>
            <w:noWrap w:val="0"/>
            <w:vAlign w:val="center"/>
          </w:tcPr>
          <w:p w14:paraId="74801F5A">
            <w:pPr>
              <w:spacing w:line="360" w:lineRule="auto"/>
              <w:jc w:val="center"/>
              <w:rPr>
                <w:rFonts w:hint="eastAsia" w:ascii="宋体" w:hAnsi="宋体" w:eastAsia="宋体" w:cs="宋体"/>
                <w:color w:val="000000"/>
                <w:sz w:val="24"/>
                <w:szCs w:val="24"/>
                <w:lang w:val="en-US" w:eastAsia="zh-CN"/>
              </w:rPr>
            </w:pPr>
          </w:p>
        </w:tc>
        <w:tc>
          <w:tcPr>
            <w:tcW w:w="956" w:type="pct"/>
            <w:noWrap w:val="0"/>
            <w:vAlign w:val="center"/>
          </w:tcPr>
          <w:p w14:paraId="4A8E8E59">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c>
          <w:tcPr>
            <w:tcW w:w="959" w:type="pct"/>
            <w:noWrap w:val="0"/>
            <w:vAlign w:val="center"/>
          </w:tcPr>
          <w:p w14:paraId="6CEF2E26">
            <w:pPr>
              <w:keepNext w:val="0"/>
              <w:keepLines w:val="0"/>
              <w:pageBreakBefore w:val="0"/>
              <w:widowControl/>
              <w:suppressLineNumbers w:val="0"/>
              <w:kinsoku/>
              <w:wordWrap/>
              <w:overflowPunct/>
              <w:topLinePunct w:val="0"/>
              <w:autoSpaceDE/>
              <w:autoSpaceDN/>
              <w:bidi w:val="0"/>
              <w:adjustRightInd/>
              <w:snapToGrid w:val="0"/>
              <w:spacing w:line="360" w:lineRule="auto"/>
              <w:jc w:val="center"/>
              <w:textAlignment w:val="center"/>
              <w:rPr>
                <w:rFonts w:hint="eastAsia" w:ascii="宋体" w:hAnsi="宋体" w:eastAsia="宋体" w:cs="宋体"/>
                <w:color w:val="000000"/>
                <w:kern w:val="2"/>
                <w:sz w:val="24"/>
                <w:szCs w:val="24"/>
                <w:lang w:val="en-US" w:eastAsia="zh-CN" w:bidi="ar-SA"/>
              </w:rPr>
            </w:pPr>
          </w:p>
        </w:tc>
      </w:tr>
      <w:tr w14:paraId="46E2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2118" w:type="pct"/>
            <w:gridSpan w:val="2"/>
            <w:noWrap w:val="0"/>
            <w:vAlign w:val="center"/>
          </w:tcPr>
          <w:p w14:paraId="78CFEFFB">
            <w:pPr>
              <w:spacing w:line="360" w:lineRule="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color w:val="000000"/>
                <w:sz w:val="24"/>
                <w:szCs w:val="24"/>
                <w:lang w:val="en-US" w:eastAsia="zh-CN"/>
              </w:rPr>
              <w:t>合同暂定总价</w:t>
            </w:r>
          </w:p>
        </w:tc>
        <w:tc>
          <w:tcPr>
            <w:tcW w:w="2881" w:type="pct"/>
            <w:gridSpan w:val="3"/>
            <w:noWrap w:val="0"/>
            <w:vAlign w:val="center"/>
          </w:tcPr>
          <w:p w14:paraId="1CEA0C48">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小写金额：</w:t>
            </w:r>
          </w:p>
          <w:p w14:paraId="01C358A8">
            <w:pPr>
              <w:pStyle w:val="16"/>
              <w:jc w:val="left"/>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lang w:val="en-US" w:eastAsia="zh-CN" w:bidi="ar-SA"/>
              </w:rPr>
              <w:t>大写金额：</w:t>
            </w:r>
          </w:p>
        </w:tc>
      </w:tr>
    </w:tbl>
    <w:p w14:paraId="269080D1">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1.本合同总价款包括但不限于货物价款、包装、劳务、运输、装卸、管理、保险、税费等可预见或其他不可预见的一切费用。</w:t>
      </w:r>
    </w:p>
    <w:p w14:paraId="5A36E91F">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2.市场价格波动、停产停供等一应风险由乙方承担，单价不作调整。</w:t>
      </w:r>
    </w:p>
    <w:p w14:paraId="26421B74">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3.本合同所载“预估数量”不视为甲方采购承诺，实际数量以甲方需求为准。乙方应清楚在合同供货期甲方存在减少供货需求或不需要供货的可能性，同时甲方不承担任何责任。</w:t>
      </w:r>
    </w:p>
    <w:p w14:paraId="76DC0EFA">
      <w:pPr>
        <w:shd w:val="clear" w:color="auto" w:fill="auto"/>
        <w:spacing w:line="440" w:lineRule="exact"/>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三、</w:t>
      </w:r>
      <w:r>
        <w:rPr>
          <w:rFonts w:hint="eastAsia" w:ascii="宋体" w:hAnsi="宋体" w:eastAsia="宋体" w:cs="宋体"/>
          <w:b/>
          <w:bCs/>
          <w:color w:val="000000"/>
          <w:spacing w:val="3"/>
          <w:sz w:val="24"/>
          <w:szCs w:val="24"/>
          <w:highlight w:val="none"/>
          <w:lang w:val="en-US" w:eastAsia="zh-CN"/>
        </w:rPr>
        <w:t>供货</w:t>
      </w:r>
      <w:r>
        <w:rPr>
          <w:rFonts w:hint="eastAsia" w:ascii="宋体" w:hAnsi="宋体" w:eastAsia="宋体" w:cs="宋体"/>
          <w:b/>
          <w:bCs/>
          <w:color w:val="000000"/>
          <w:spacing w:val="3"/>
          <w:sz w:val="24"/>
          <w:szCs w:val="24"/>
          <w:highlight w:val="none"/>
        </w:rPr>
        <w:t>要求</w:t>
      </w:r>
    </w:p>
    <w:p w14:paraId="0C685023">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1.供货期：1年。</w:t>
      </w:r>
      <w:r>
        <w:rPr>
          <w:rFonts w:hint="eastAsia" w:ascii="宋体" w:hAnsi="宋体" w:eastAsia="宋体" w:cs="宋体"/>
          <w:color w:val="000000"/>
          <w:spacing w:val="9"/>
          <w:sz w:val="24"/>
          <w:szCs w:val="24"/>
          <w:lang w:val="en-US" w:eastAsia="zh-CN"/>
        </w:rPr>
        <w:t>具体供货时间以甲方需求为准。</w:t>
      </w:r>
    </w:p>
    <w:p w14:paraId="449BEA51">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2.</w:t>
      </w:r>
      <w:r>
        <w:rPr>
          <w:rFonts w:hint="eastAsia" w:ascii="宋体" w:hAnsi="宋体" w:eastAsia="宋体" w:cs="宋体"/>
          <w:b w:val="0"/>
          <w:bCs w:val="0"/>
          <w:color w:val="000000"/>
          <w:spacing w:val="9"/>
          <w:sz w:val="24"/>
          <w:szCs w:val="24"/>
        </w:rPr>
        <w:t>送货</w:t>
      </w:r>
      <w:r>
        <w:rPr>
          <w:rFonts w:hint="eastAsia" w:ascii="宋体" w:hAnsi="宋体" w:eastAsia="宋体" w:cs="宋体"/>
          <w:b w:val="0"/>
          <w:bCs w:val="0"/>
          <w:color w:val="000000"/>
          <w:spacing w:val="9"/>
          <w:sz w:val="24"/>
          <w:szCs w:val="24"/>
          <w:lang w:val="en-US" w:eastAsia="zh-CN"/>
        </w:rPr>
        <w:t>要求：</w:t>
      </w:r>
    </w:p>
    <w:p w14:paraId="2A072A4F">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（1）送货</w:t>
      </w:r>
      <w:r>
        <w:rPr>
          <w:rFonts w:hint="eastAsia" w:ascii="宋体" w:hAnsi="宋体" w:eastAsia="宋体" w:cs="宋体"/>
          <w:b w:val="0"/>
          <w:bCs w:val="0"/>
          <w:color w:val="000000"/>
          <w:spacing w:val="9"/>
          <w:sz w:val="24"/>
          <w:szCs w:val="24"/>
        </w:rPr>
        <w:t>频次</w:t>
      </w:r>
      <w:r>
        <w:rPr>
          <w:rFonts w:hint="eastAsia" w:ascii="宋体" w:hAnsi="宋体" w:eastAsia="宋体" w:cs="宋体"/>
          <w:b w:val="0"/>
          <w:bCs w:val="0"/>
          <w:color w:val="000000"/>
          <w:spacing w:val="9"/>
          <w:sz w:val="24"/>
          <w:szCs w:val="24"/>
          <w:lang w:val="en-US" w:eastAsia="zh-CN"/>
        </w:rPr>
        <w:t>及到货时间</w:t>
      </w:r>
      <w:r>
        <w:rPr>
          <w:rFonts w:hint="eastAsia" w:ascii="宋体" w:hAnsi="宋体" w:eastAsia="宋体" w:cs="宋体"/>
          <w:b w:val="0"/>
          <w:bCs w:val="0"/>
          <w:color w:val="000000"/>
          <w:spacing w:val="9"/>
          <w:sz w:val="24"/>
          <w:szCs w:val="24"/>
        </w:rPr>
        <w:t>：</w:t>
      </w:r>
      <w:r>
        <w:rPr>
          <w:rFonts w:hint="eastAsia" w:ascii="宋体" w:hAnsi="宋体" w:eastAsia="宋体" w:cs="宋体"/>
          <w:b w:val="0"/>
          <w:bCs w:val="0"/>
          <w:color w:val="000000"/>
          <w:spacing w:val="9"/>
          <w:sz w:val="24"/>
          <w:szCs w:val="24"/>
          <w:lang w:val="en-US" w:eastAsia="zh-CN"/>
        </w:rPr>
        <w:t>按需供货，具体送货时间、送货数量以甲方通知为准，自接到甲方通知后，7日内将所需货物安全送到甲方指定地点；应急采购的，乙方自接到甲方通知3日内将所需货物安全送到甲方指定地点。</w:t>
      </w:r>
    </w:p>
    <w:p w14:paraId="6B1378CD">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2）运输要求：货物由乙方负责装卸、运输。使用符合国家规定的专用车辆运输，运输车辆不得混运酸性物品，运输过程须遵守国家相关运输管理规定、避免包装损坏、受潮、污染，运输过程中出现的一切问题皆由乙方负责。乙方负责货物到场的卸货工作，随车应配备人员防护用品，并对卸货过程中的环境安全负责。</w:t>
      </w:r>
    </w:p>
    <w:p w14:paraId="0F273602">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eastAsia="zh-CN"/>
        </w:rPr>
        <w:t>（</w:t>
      </w:r>
      <w:r>
        <w:rPr>
          <w:rFonts w:hint="eastAsia" w:ascii="宋体" w:hAnsi="宋体" w:eastAsia="宋体" w:cs="宋体"/>
          <w:b w:val="0"/>
          <w:bCs w:val="0"/>
          <w:color w:val="000000"/>
          <w:spacing w:val="9"/>
          <w:sz w:val="24"/>
          <w:szCs w:val="24"/>
          <w:lang w:val="en-US" w:eastAsia="zh-CN"/>
        </w:rPr>
        <w:t>3）送货地点：</w:t>
      </w:r>
      <w:r>
        <w:rPr>
          <w:rFonts w:hint="eastAsia" w:ascii="宋体" w:hAnsi="宋体" w:eastAsia="宋体" w:cs="宋体"/>
          <w:b w:val="0"/>
          <w:bCs w:val="0"/>
          <w:color w:val="000000"/>
          <w:spacing w:val="9"/>
          <w:sz w:val="24"/>
          <w:szCs w:val="24"/>
        </w:rPr>
        <w:t>每次送货</w:t>
      </w:r>
      <w:r>
        <w:rPr>
          <w:rFonts w:hint="eastAsia" w:ascii="宋体" w:hAnsi="宋体" w:eastAsia="宋体" w:cs="宋体"/>
          <w:b w:val="0"/>
          <w:bCs w:val="0"/>
          <w:color w:val="000000"/>
          <w:spacing w:val="9"/>
          <w:sz w:val="24"/>
          <w:szCs w:val="24"/>
          <w:lang w:val="en-US" w:eastAsia="zh-CN"/>
        </w:rPr>
        <w:t>乙方</w:t>
      </w:r>
      <w:r>
        <w:rPr>
          <w:rFonts w:hint="eastAsia" w:ascii="宋体" w:hAnsi="宋体" w:eastAsia="宋体" w:cs="宋体"/>
          <w:b w:val="0"/>
          <w:bCs w:val="0"/>
          <w:color w:val="000000"/>
          <w:spacing w:val="9"/>
          <w:sz w:val="24"/>
          <w:szCs w:val="24"/>
        </w:rPr>
        <w:t>必须有专人到现场，按照</w:t>
      </w:r>
      <w:r>
        <w:rPr>
          <w:rFonts w:hint="eastAsia" w:ascii="宋体" w:hAnsi="宋体" w:eastAsia="宋体" w:cs="宋体"/>
          <w:b w:val="0"/>
          <w:bCs w:val="0"/>
          <w:color w:val="000000"/>
          <w:spacing w:val="9"/>
          <w:sz w:val="24"/>
          <w:szCs w:val="24"/>
          <w:lang w:val="en-US" w:eastAsia="zh-CN"/>
        </w:rPr>
        <w:t>甲方</w:t>
      </w:r>
      <w:r>
        <w:rPr>
          <w:rFonts w:hint="eastAsia" w:ascii="宋体" w:hAnsi="宋体" w:eastAsia="宋体" w:cs="宋体"/>
          <w:b w:val="0"/>
          <w:bCs w:val="0"/>
          <w:color w:val="000000"/>
          <w:spacing w:val="9"/>
          <w:sz w:val="24"/>
          <w:szCs w:val="24"/>
        </w:rPr>
        <w:t>要求卸在指定位置。</w:t>
      </w:r>
      <w:r>
        <w:rPr>
          <w:rFonts w:hint="eastAsia" w:ascii="宋体" w:hAnsi="宋体" w:eastAsia="宋体" w:cs="宋体"/>
          <w:b w:val="0"/>
          <w:bCs w:val="0"/>
          <w:color w:val="000000"/>
          <w:spacing w:val="9"/>
          <w:sz w:val="24"/>
          <w:szCs w:val="24"/>
          <w:lang w:val="en-US" w:eastAsia="zh-CN"/>
        </w:rPr>
        <w:t>运输、卸货、停放必须遵守甲方场内车辆、人员管理规定，做到有序排队进园区、有序停放、安全运输、走备案路线、安全卸货、服从指挥。地址如下：</w:t>
      </w:r>
      <w:r>
        <w:rPr>
          <w:rFonts w:hint="eastAsia" w:ascii="宋体" w:hAnsi="宋体" w:eastAsia="宋体" w:cs="宋体"/>
          <w:b w:val="0"/>
          <w:bCs w:val="0"/>
          <w:color w:val="000000"/>
          <w:spacing w:val="9"/>
          <w:sz w:val="24"/>
          <w:szCs w:val="24"/>
          <w:u w:val="single"/>
          <w:lang w:val="en-US" w:eastAsia="zh-CN"/>
        </w:rPr>
        <w:t xml:space="preserve">                                      </w:t>
      </w:r>
      <w:r>
        <w:rPr>
          <w:rFonts w:hint="eastAsia" w:ascii="宋体" w:hAnsi="宋体" w:eastAsia="宋体" w:cs="宋体"/>
          <w:b w:val="0"/>
          <w:bCs w:val="0"/>
          <w:color w:val="000000"/>
          <w:spacing w:val="9"/>
          <w:sz w:val="24"/>
          <w:szCs w:val="24"/>
          <w:lang w:val="en-US" w:eastAsia="zh-CN"/>
        </w:rPr>
        <w:t>（具体发货地点及相应的数量以发货前具体通知为准）。</w:t>
      </w:r>
    </w:p>
    <w:p w14:paraId="563BABBA">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产品质量要求：所供货物生产日期应在到货之日的前6个月内，必须符合本项目要求的质量指标（如国家出台新标准则按照新标准执行）并提供对应批次货物的质量证明书（包含生产企业名称、产品名称、规格型号、质量指标、批号或生产日期、执行标准号），提供固体工业用氢氧化钠的化学品安全技术说明书（MSDS）。甲方使用过程中有权对所供货物进行质量检测（包含送有资质的第三方检测机构检测），检测出质量指标不符合甲方要求时乙方需及时进行结果确认并承担相应的责任与后果。质保期为货物验收合格之日起不少于两个月。</w:t>
      </w:r>
    </w:p>
    <w:p w14:paraId="43259A24">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4.其他要求：</w:t>
      </w:r>
    </w:p>
    <w:p w14:paraId="04B1EF04">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（1）货物在运输、装卸过程中，发生意外事故和故障损失，均由乙方承担责任。</w:t>
      </w:r>
    </w:p>
    <w:p w14:paraId="021DC572">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（2）货物在整个运送过程中产生的一切费用，如货物运费、装卸费用、安全费用、环保费用等全部由乙方负责。</w:t>
      </w:r>
    </w:p>
    <w:p w14:paraId="17AC3570">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（3）乙方必须遵守有关法律法规及甲方的规章制度。否则，乙方应承担相应责任。</w:t>
      </w:r>
    </w:p>
    <w:p w14:paraId="35737879">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（4）甲方最终以实际验收的供货量进行结算。</w:t>
      </w:r>
    </w:p>
    <w:p w14:paraId="4046F60B">
      <w:pPr>
        <w:shd w:val="clear" w:color="auto" w:fill="auto"/>
        <w:spacing w:line="360" w:lineRule="auto"/>
        <w:ind w:firstLine="516" w:firstLineChars="200"/>
        <w:outlineLvl w:val="6"/>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（5）乙方需承诺中标后所供货物的生产厂家与投标时的生产或授权厂家完全一致。</w:t>
      </w:r>
    </w:p>
    <w:p w14:paraId="71A61EEF">
      <w:pPr>
        <w:shd w:val="clear" w:color="auto" w:fill="auto"/>
        <w:spacing w:line="360" w:lineRule="auto"/>
        <w:ind w:firstLine="494" w:firstLineChars="200"/>
        <w:outlineLvl w:val="6"/>
        <w:rPr>
          <w:rFonts w:hint="eastAsia" w:ascii="宋体" w:hAnsi="宋体" w:eastAsia="宋体" w:cs="宋体"/>
          <w:b/>
          <w:bCs/>
          <w:color w:val="000000"/>
          <w:spacing w:val="3"/>
          <w:sz w:val="24"/>
          <w:szCs w:val="24"/>
          <w:highlight w:val="none"/>
          <w:lang w:eastAsia="zh-CN"/>
        </w:rPr>
      </w:pPr>
      <w:r>
        <w:rPr>
          <w:rFonts w:hint="eastAsia" w:ascii="宋体" w:hAnsi="宋体" w:eastAsia="宋体" w:cs="宋体"/>
          <w:b/>
          <w:bCs/>
          <w:color w:val="000000"/>
          <w:spacing w:val="3"/>
          <w:sz w:val="24"/>
          <w:szCs w:val="24"/>
          <w:highlight w:val="none"/>
        </w:rPr>
        <w:t>四、</w:t>
      </w:r>
      <w:bookmarkStart w:id="112" w:name="_Hlk104310746"/>
      <w:bookmarkStart w:id="113" w:name="_Hlk104310792"/>
      <w:r>
        <w:rPr>
          <w:rFonts w:hint="eastAsia" w:ascii="宋体" w:hAnsi="宋体" w:eastAsia="宋体" w:cs="宋体"/>
          <w:b/>
          <w:bCs/>
          <w:color w:val="000000"/>
          <w:spacing w:val="3"/>
          <w:sz w:val="24"/>
          <w:szCs w:val="24"/>
          <w:highlight w:val="none"/>
        </w:rPr>
        <w:t>验收</w:t>
      </w:r>
      <w:r>
        <w:rPr>
          <w:rFonts w:hint="eastAsia" w:ascii="宋体" w:hAnsi="宋体" w:eastAsia="宋体" w:cs="宋体"/>
          <w:b/>
          <w:bCs/>
          <w:color w:val="000000"/>
          <w:spacing w:val="3"/>
          <w:sz w:val="24"/>
          <w:szCs w:val="24"/>
          <w:highlight w:val="none"/>
          <w:lang w:val="en-US" w:eastAsia="zh-CN"/>
        </w:rPr>
        <w:t>要求</w:t>
      </w:r>
    </w:p>
    <w:p w14:paraId="6D909CD4">
      <w:pPr>
        <w:numPr>
          <w:ilvl w:val="0"/>
          <w:numId w:val="0"/>
        </w:numPr>
        <w:spacing w:line="360" w:lineRule="auto"/>
        <w:ind w:right="74" w:rightChars="0" w:firstLine="516" w:firstLineChars="200"/>
        <w:contextualSpacing/>
        <w:rPr>
          <w:rFonts w:hint="eastAsia" w:ascii="宋体" w:hAnsi="宋体" w:eastAsia="宋体" w:cs="宋体"/>
          <w:color w:val="000000"/>
          <w:spacing w:val="9"/>
          <w:sz w:val="24"/>
          <w:szCs w:val="24"/>
          <w:lang w:val="en-US" w:eastAsia="zh-CN"/>
        </w:rPr>
      </w:pPr>
      <w:r>
        <w:rPr>
          <w:rFonts w:hint="eastAsia" w:ascii="宋体" w:hAnsi="宋体" w:eastAsia="宋体" w:cs="宋体"/>
          <w:b w:val="0"/>
          <w:bCs w:val="0"/>
          <w:color w:val="000000"/>
          <w:spacing w:val="9"/>
          <w:sz w:val="24"/>
          <w:szCs w:val="24"/>
          <w:highlight w:val="none"/>
          <w:lang w:val="en-US" w:eastAsia="zh-CN"/>
        </w:rPr>
        <w:t>1.</w:t>
      </w:r>
      <w:r>
        <w:rPr>
          <w:rFonts w:hint="eastAsia" w:ascii="宋体" w:hAnsi="宋体" w:eastAsia="宋体" w:cs="宋体"/>
          <w:b w:val="0"/>
          <w:bCs w:val="0"/>
          <w:color w:val="000000"/>
          <w:spacing w:val="9"/>
          <w:sz w:val="24"/>
          <w:szCs w:val="24"/>
          <w:highlight w:val="none"/>
        </w:rPr>
        <w:t>产品验收分为到货验收和第三方检测验收，产品质量以第三方检测验收结果为准。</w:t>
      </w:r>
      <w:r>
        <w:rPr>
          <w:rFonts w:hint="eastAsia" w:ascii="宋体" w:hAnsi="宋体" w:eastAsia="宋体" w:cs="宋体"/>
          <w:b w:val="0"/>
          <w:bCs w:val="0"/>
          <w:color w:val="000000"/>
          <w:spacing w:val="9"/>
          <w:sz w:val="24"/>
          <w:szCs w:val="24"/>
          <w:highlight w:val="none"/>
          <w:lang w:val="en-US" w:eastAsia="zh-CN"/>
        </w:rPr>
        <w:t>到货验收与第三方检测验收均合格的，视为验收合格；未进行第三方检验的，以到货验收合格为验收合格。</w:t>
      </w:r>
    </w:p>
    <w:p w14:paraId="502A2C39">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2.到货验收：甲方、乙方现场对照合同要求对货品的送货清单、质量证明书、安全技术说明书、货物的外观、数量等进行验收，以上均符合甲方要求则初步验收合格；有任一项未通过则初步验收不合格，退货处理，乙方应在12小时内完成重新供货。到货数量以甲方过磅量（双方签字确认）为准，场所无地磅或甲方地磅无法称重的，</w:t>
      </w:r>
      <w:r>
        <w:rPr>
          <w:rFonts w:hint="eastAsia" w:ascii="宋体" w:hAnsi="宋体" w:eastAsia="宋体" w:cs="宋体"/>
          <w:b w:val="0"/>
          <w:bCs w:val="0"/>
          <w:color w:val="000000"/>
          <w:spacing w:val="9"/>
          <w:sz w:val="24"/>
          <w:szCs w:val="24"/>
        </w:rPr>
        <w:t>根据现场规格包数进行随机取部分包数进行称重，平均值</w:t>
      </w:r>
      <w:r>
        <w:rPr>
          <w:rFonts w:hint="eastAsia" w:ascii="宋体" w:hAnsi="宋体" w:eastAsia="宋体" w:cs="宋体"/>
          <w:b w:val="0"/>
          <w:bCs w:val="0"/>
          <w:color w:val="000000"/>
          <w:spacing w:val="9"/>
          <w:sz w:val="24"/>
          <w:szCs w:val="24"/>
          <w:lang w:val="en-US" w:eastAsia="zh-CN"/>
        </w:rPr>
        <w:t>满足包装规格要求的，按照</w:t>
      </w:r>
      <w:r>
        <w:rPr>
          <w:rFonts w:hint="eastAsia" w:ascii="宋体" w:hAnsi="宋体" w:eastAsia="宋体" w:cs="宋体"/>
          <w:b w:val="0"/>
          <w:bCs w:val="0"/>
          <w:color w:val="000000"/>
          <w:spacing w:val="9"/>
          <w:sz w:val="24"/>
          <w:szCs w:val="24"/>
        </w:rPr>
        <w:t>总计包数</w:t>
      </w:r>
      <w:r>
        <w:rPr>
          <w:rFonts w:hint="eastAsia" w:ascii="宋体" w:hAnsi="宋体" w:eastAsia="宋体" w:cs="宋体"/>
          <w:b w:val="0"/>
          <w:bCs w:val="0"/>
          <w:color w:val="000000"/>
          <w:spacing w:val="9"/>
          <w:sz w:val="24"/>
          <w:szCs w:val="24"/>
          <w:lang w:val="en-US" w:eastAsia="zh-CN"/>
        </w:rPr>
        <w:t>*包装规格</w:t>
      </w:r>
      <w:r>
        <w:rPr>
          <w:rFonts w:hint="eastAsia" w:ascii="宋体" w:hAnsi="宋体" w:eastAsia="宋体" w:cs="宋体"/>
          <w:b w:val="0"/>
          <w:bCs w:val="0"/>
          <w:color w:val="000000"/>
          <w:spacing w:val="9"/>
          <w:sz w:val="24"/>
          <w:szCs w:val="24"/>
        </w:rPr>
        <w:t>计量</w:t>
      </w:r>
      <w:r>
        <w:rPr>
          <w:rFonts w:hint="eastAsia" w:ascii="宋体" w:hAnsi="宋体" w:eastAsia="宋体" w:cs="宋体"/>
          <w:b w:val="0"/>
          <w:bCs w:val="0"/>
          <w:color w:val="000000"/>
          <w:spacing w:val="9"/>
          <w:sz w:val="24"/>
          <w:szCs w:val="24"/>
          <w:lang w:val="en-US" w:eastAsia="zh-CN"/>
        </w:rPr>
        <w:t>。甲方到货验收仅对产品的数量及可见外观进行查验，无法判断产品质量及使用效果。本次验收完成后，甲方可入库并先行使用但并不代表且不应视为产品最终验收合格。</w:t>
      </w:r>
    </w:p>
    <w:p w14:paraId="07B33BBB">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3.检测验收：甲方有权随机抽样对乙方提供的货物进行送第三方检测机构检测，分析结果将作为质量判定与货款结算依据。检测验收不合格乙方承担相应责任。</w:t>
      </w:r>
    </w:p>
    <w:p w14:paraId="23F0374A">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3.1批次的定义：以当天所运货物为一批次。</w:t>
      </w:r>
    </w:p>
    <w:p w14:paraId="3795C7D1">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3.2取样：在签订合同时，乙方向甲方以书面形式备案样品取样验收确认人员（乙方出具授权委托书、姓名、身份证号、所属单位），如需更换样品取样验收确认人员，乙方需提前向甲方提交甲方认可的书面更换函。取样时，</w:t>
      </w:r>
      <w:r>
        <w:rPr>
          <w:rFonts w:hint="eastAsia" w:ascii="宋体" w:hAnsi="宋体" w:eastAsia="宋体" w:cs="宋体"/>
          <w:b w:val="0"/>
          <w:bCs w:val="0"/>
          <w:color w:val="000000"/>
          <w:spacing w:val="9"/>
          <w:sz w:val="24"/>
          <w:szCs w:val="24"/>
        </w:rPr>
        <w:t>抽取随机包数样品总计样品质量不少于</w:t>
      </w:r>
      <w:r>
        <w:rPr>
          <w:rFonts w:hint="eastAsia" w:ascii="宋体" w:hAnsi="宋体" w:eastAsia="宋体" w:cs="宋体"/>
          <w:b w:val="0"/>
          <w:bCs w:val="0"/>
          <w:color w:val="000000"/>
          <w:spacing w:val="9"/>
          <w:sz w:val="24"/>
          <w:szCs w:val="24"/>
          <w:lang w:val="en-US" w:eastAsia="zh-CN"/>
        </w:rPr>
        <w:t>3</w:t>
      </w:r>
      <w:r>
        <w:rPr>
          <w:rFonts w:hint="eastAsia" w:ascii="宋体" w:hAnsi="宋体" w:eastAsia="宋体" w:cs="宋体"/>
          <w:b w:val="0"/>
          <w:bCs w:val="0"/>
          <w:color w:val="000000"/>
          <w:spacing w:val="9"/>
          <w:sz w:val="24"/>
          <w:szCs w:val="24"/>
        </w:rPr>
        <w:t>00g</w:t>
      </w:r>
      <w:r>
        <w:rPr>
          <w:rFonts w:hint="eastAsia" w:ascii="宋体" w:hAnsi="宋体" w:eastAsia="宋体" w:cs="宋体"/>
          <w:b w:val="0"/>
          <w:bCs w:val="0"/>
          <w:color w:val="000000"/>
          <w:spacing w:val="9"/>
          <w:sz w:val="24"/>
          <w:szCs w:val="24"/>
          <w:lang w:eastAsia="zh-CN"/>
        </w:rPr>
        <w:t>，</w:t>
      </w:r>
      <w:r>
        <w:rPr>
          <w:rFonts w:hint="eastAsia" w:ascii="宋体" w:hAnsi="宋体" w:eastAsia="宋体" w:cs="宋体"/>
          <w:b w:val="0"/>
          <w:bCs w:val="0"/>
          <w:color w:val="000000"/>
          <w:spacing w:val="9"/>
          <w:sz w:val="24"/>
          <w:szCs w:val="24"/>
          <w:lang w:val="en-US" w:eastAsia="zh-CN"/>
        </w:rPr>
        <w:t>使用洁净干燥的容器，分装2份密封，一份用于检测，一份封存保留30天备用。乙方取样验收确认人员须在采购人货物取样单上签名，如乙方拒绝配合取样，则甲方可以单方取样且视为乙方对甲方取样以及检验结果无异议。</w:t>
      </w:r>
    </w:p>
    <w:p w14:paraId="7C3C1153">
      <w:pPr>
        <w:pStyle w:val="16"/>
        <w:spacing w:after="0" w:line="360" w:lineRule="auto"/>
        <w:ind w:firstLine="516" w:firstLineChars="200"/>
        <w:jc w:val="both"/>
        <w:rPr>
          <w:rFonts w:hint="eastAsia" w:ascii="宋体" w:hAnsi="宋体" w:eastAsia="宋体" w:cs="宋体"/>
          <w:b w:val="0"/>
          <w:bCs w:val="0"/>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3.3第三方检测机构检测：甲方按需不定期</w:t>
      </w:r>
      <w:r>
        <w:rPr>
          <w:rFonts w:hint="eastAsia" w:ascii="宋体" w:hAnsi="宋体" w:eastAsia="宋体" w:cs="宋体"/>
          <w:b/>
          <w:bCs/>
          <w:color w:val="000000"/>
          <w:spacing w:val="9"/>
          <w:sz w:val="24"/>
          <w:szCs w:val="24"/>
          <w:lang w:val="en-US" w:eastAsia="zh-CN"/>
        </w:rPr>
        <w:t>（一次性供货的，合同期内检测一次；多次供货的，合同期内不少于两次）</w:t>
      </w:r>
      <w:r>
        <w:rPr>
          <w:rFonts w:hint="eastAsia" w:ascii="宋体" w:hAnsi="宋体" w:eastAsia="宋体" w:cs="宋体"/>
          <w:b w:val="0"/>
          <w:bCs w:val="0"/>
          <w:color w:val="000000"/>
          <w:spacing w:val="9"/>
          <w:sz w:val="24"/>
          <w:szCs w:val="24"/>
          <w:lang w:val="en-US" w:eastAsia="zh-CN"/>
        </w:rPr>
        <w:t>对物资进行第三方检测机构送检，第三方检测机构由甲方选择，乙方需认可甲方选择的有资质的检测单位及其出具的检测数据。第三方检测根据国标GB/T209-2018要求对氢氧化钠含量进行检验，检验结果不符合甲方要求时，则判该批产品为不合格产品。如甲方对同批次物资多次送检的，则以最近一次的检验结果为准。不合格产品乙方承担相应退货换货或折价处理责任。</w:t>
      </w:r>
    </w:p>
    <w:p w14:paraId="63B2F955">
      <w:pPr>
        <w:pStyle w:val="16"/>
        <w:spacing w:after="0" w:line="360" w:lineRule="auto"/>
        <w:ind w:firstLine="516" w:firstLineChars="200"/>
        <w:jc w:val="both"/>
        <w:rPr>
          <w:rFonts w:hint="eastAsia" w:ascii="宋体" w:hAnsi="宋体" w:eastAsia="宋体" w:cs="宋体"/>
          <w:b/>
          <w:bCs/>
          <w:color w:val="000000"/>
          <w:spacing w:val="9"/>
          <w:sz w:val="24"/>
          <w:szCs w:val="24"/>
          <w:lang w:val="en-US" w:eastAsia="zh-CN"/>
        </w:rPr>
      </w:pPr>
      <w:r>
        <w:rPr>
          <w:rFonts w:hint="eastAsia" w:ascii="宋体" w:hAnsi="宋体" w:eastAsia="宋体" w:cs="宋体"/>
          <w:b w:val="0"/>
          <w:bCs w:val="0"/>
          <w:color w:val="000000"/>
          <w:spacing w:val="9"/>
          <w:sz w:val="24"/>
          <w:szCs w:val="24"/>
          <w:lang w:val="en-US" w:eastAsia="zh-CN"/>
        </w:rPr>
        <w:t>3.4上述第三方检测机构检测的检测费用，检测合格的由甲方承担，检测不合格的由乙方承担。</w:t>
      </w:r>
    </w:p>
    <w:p w14:paraId="1CEE5AFF">
      <w:pPr>
        <w:shd w:val="clear" w:color="auto" w:fill="auto"/>
        <w:spacing w:line="360" w:lineRule="auto"/>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五、结算及货款支付</w:t>
      </w:r>
    </w:p>
    <w:bookmarkEnd w:id="112"/>
    <w:bookmarkEnd w:id="113"/>
    <w:p w14:paraId="391ED7A7">
      <w:pPr>
        <w:pStyle w:val="16"/>
        <w:spacing w:after="0" w:line="360" w:lineRule="auto"/>
        <w:ind w:firstLine="516" w:firstLineChars="200"/>
        <w:jc w:val="both"/>
        <w:rPr>
          <w:rFonts w:hint="eastAsia" w:ascii="宋体" w:hAnsi="宋体" w:eastAsia="宋体" w:cs="宋体"/>
          <w:snapToGrid w:val="0"/>
          <w:color w:val="000000"/>
          <w:spacing w:val="9"/>
          <w:sz w:val="24"/>
          <w:szCs w:val="24"/>
          <w:lang w:val="en-US" w:eastAsia="zh-CN" w:bidi="ar-SA"/>
        </w:rPr>
      </w:pPr>
      <w:r>
        <w:rPr>
          <w:rFonts w:hint="eastAsia" w:ascii="宋体" w:hAnsi="宋体" w:eastAsia="宋体" w:cs="宋体"/>
          <w:snapToGrid w:val="0"/>
          <w:color w:val="000000"/>
          <w:spacing w:val="9"/>
          <w:sz w:val="24"/>
          <w:szCs w:val="24"/>
          <w:lang w:val="en-US" w:eastAsia="zh-CN" w:bidi="ar-SA"/>
        </w:rPr>
        <w:t>1.货款在产品最终验收合格后，乙方至甲方处办理结算手续，原则上次月结算上月款项。双方根据最终验收合格的产品数量和单价结算货款。</w:t>
      </w:r>
    </w:p>
    <w:p w14:paraId="11F33091">
      <w:pPr>
        <w:shd w:val="clear" w:color="auto" w:fill="auto"/>
        <w:spacing w:line="360" w:lineRule="auto"/>
        <w:ind w:firstLine="516"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snapToGrid w:val="0"/>
          <w:color w:val="000000"/>
          <w:spacing w:val="9"/>
          <w:sz w:val="24"/>
          <w:szCs w:val="24"/>
          <w:lang w:val="en-US" w:eastAsia="zh-CN" w:bidi="ar-SA"/>
        </w:rPr>
        <w:t>2.到货验收完成后，双方先按照该批次入库的产品对应的合同额的80%计算预付款。同时在正式结算时，双方结合产品最终验收结果和甲方已支付的预付款结算，多退少补。甲方每次付款均自双方款项确认完成并收到乙方提交的合法等额的增值税专用发票（13%税点）15个工作日内安排支付。因乙方提供的发票不规范、不合法的，甲方有权顺延货款支付而无需承担任何逾期责任；如引起税务问题的，乙方应承担相应的赔偿责任。</w:t>
      </w:r>
    </w:p>
    <w:p w14:paraId="6258983C">
      <w:pPr>
        <w:shd w:val="clear" w:color="auto" w:fill="auto"/>
        <w:spacing w:line="440" w:lineRule="exact"/>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六、税费</w:t>
      </w:r>
    </w:p>
    <w:p w14:paraId="6B8CE4E6">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本合同执行中相关的一切税费均由双方依法承担。</w:t>
      </w:r>
    </w:p>
    <w:p w14:paraId="1AA237A9">
      <w:pPr>
        <w:shd w:val="clear" w:color="auto" w:fill="auto"/>
        <w:spacing w:line="440" w:lineRule="exact"/>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七、履约保证金</w:t>
      </w:r>
    </w:p>
    <w:p w14:paraId="56548E95">
      <w:pPr>
        <w:shd w:val="clear" w:color="auto" w:fill="auto"/>
        <w:spacing w:line="440" w:lineRule="exact"/>
        <w:ind w:firstLine="492" w:firstLineChars="200"/>
        <w:outlineLvl w:val="6"/>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在合同签订前，乙方交纳人民币</w:t>
      </w:r>
      <w:r>
        <w:rPr>
          <w:rFonts w:hint="eastAsia" w:ascii="宋体" w:hAnsi="宋体" w:eastAsia="宋体" w:cs="宋体"/>
          <w:color w:val="000000"/>
          <w:spacing w:val="3"/>
          <w:sz w:val="24"/>
          <w:szCs w:val="24"/>
          <w:highlight w:val="none"/>
          <w:u w:val="single"/>
        </w:rPr>
        <w:t xml:space="preserve">      </w:t>
      </w:r>
      <w:r>
        <w:rPr>
          <w:rFonts w:hint="eastAsia" w:ascii="宋体" w:hAnsi="宋体" w:eastAsia="宋体" w:cs="宋体"/>
          <w:color w:val="000000"/>
          <w:spacing w:val="3"/>
          <w:sz w:val="24"/>
          <w:szCs w:val="24"/>
          <w:highlight w:val="none"/>
        </w:rPr>
        <w:t>元作为本合同的履约保证金（约合同总价的5%）,</w:t>
      </w:r>
      <w:r>
        <w:rPr>
          <w:rFonts w:hint="eastAsia" w:ascii="宋体" w:hAnsi="宋体" w:eastAsia="宋体" w:cs="宋体"/>
          <w:spacing w:val="3"/>
          <w:sz w:val="24"/>
          <w:szCs w:val="24"/>
          <w:highlight w:val="none"/>
        </w:rPr>
        <w:t>乙方应保证履约担保项下的金额在合同履行期间保持足额。即当因乙方原因导致履约担保项下的金额被用来赔偿损失或承担违约金时，乙方需在接到甲方通知后7个工作日内补足。乙方未及时足额缴纳履约保证金或补足履约保证金的，视作违约，甲方可单方面直接解除合同并罚没全部</w:t>
      </w:r>
      <w:r>
        <w:rPr>
          <w:rFonts w:hint="eastAsia" w:ascii="宋体" w:hAnsi="宋体" w:eastAsia="宋体" w:cs="宋体"/>
          <w:spacing w:val="3"/>
          <w:sz w:val="24"/>
          <w:szCs w:val="24"/>
          <w:highlight w:val="none"/>
          <w:lang w:val="en-US" w:eastAsia="zh-CN"/>
        </w:rPr>
        <w:t>或者部分</w:t>
      </w:r>
      <w:r>
        <w:rPr>
          <w:rFonts w:hint="eastAsia" w:ascii="宋体" w:hAnsi="宋体" w:eastAsia="宋体" w:cs="宋体"/>
          <w:spacing w:val="3"/>
          <w:sz w:val="24"/>
          <w:szCs w:val="24"/>
          <w:highlight w:val="none"/>
        </w:rPr>
        <w:t>保证金（或要求乙方承担相当于合同暂定总价的</w:t>
      </w:r>
      <w:r>
        <w:rPr>
          <w:rFonts w:hint="eastAsia" w:ascii="宋体" w:hAnsi="宋体" w:eastAsia="宋体" w:cs="宋体"/>
          <w:spacing w:val="3"/>
          <w:sz w:val="24"/>
          <w:szCs w:val="24"/>
          <w:highlight w:val="none"/>
          <w:lang w:val="en-US" w:eastAsia="zh-CN"/>
        </w:rPr>
        <w:t>1%-</w:t>
      </w:r>
      <w:r>
        <w:rPr>
          <w:rFonts w:hint="eastAsia" w:ascii="宋体" w:hAnsi="宋体" w:eastAsia="宋体" w:cs="宋体"/>
          <w:spacing w:val="3"/>
          <w:sz w:val="24"/>
          <w:szCs w:val="24"/>
          <w:highlight w:val="none"/>
        </w:rPr>
        <w:t>5%的违约金）。履约保证金在合同履行结束</w:t>
      </w:r>
      <w:r>
        <w:rPr>
          <w:rFonts w:hint="eastAsia" w:ascii="宋体" w:hAnsi="宋体" w:eastAsia="宋体" w:cs="宋体"/>
          <w:spacing w:val="3"/>
          <w:sz w:val="24"/>
          <w:szCs w:val="24"/>
          <w:highlight w:val="none"/>
          <w:lang w:val="en-US" w:eastAsia="zh-CN"/>
        </w:rPr>
        <w:t>且质保期限届满，</w:t>
      </w:r>
      <w:r>
        <w:rPr>
          <w:rFonts w:hint="eastAsia" w:ascii="宋体" w:hAnsi="宋体" w:eastAsia="宋体" w:cs="宋体"/>
          <w:spacing w:val="3"/>
          <w:sz w:val="24"/>
          <w:szCs w:val="24"/>
          <w:highlight w:val="none"/>
        </w:rPr>
        <w:t>并扣除乙方违约金额（如有），经乙方申请后1个月内无息退还余额，但发生本合同约定的甲方有权不予退还履约保证金的情形除外。</w:t>
      </w:r>
    </w:p>
    <w:p w14:paraId="350B42A2">
      <w:pPr>
        <w:shd w:val="clear" w:color="auto" w:fill="auto"/>
        <w:spacing w:line="440" w:lineRule="exact"/>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八、转包或分包</w:t>
      </w:r>
    </w:p>
    <w:p w14:paraId="5582BDB4">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1.本合同范围的货物，应由乙方直接供应，不得转让他人供应。</w:t>
      </w:r>
    </w:p>
    <w:p w14:paraId="605E7DE2">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2.除非得到甲方的书面同意，乙方不得将本合同范围的货物全部或部分分包给他人供应。</w:t>
      </w:r>
    </w:p>
    <w:p w14:paraId="151D4503">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3.如有转让和未经甲方同意的分包行为，甲方有权解除合同，没收履约保证金并追究乙方违约责任。</w:t>
      </w:r>
    </w:p>
    <w:p w14:paraId="40A1F6A0">
      <w:pPr>
        <w:shd w:val="clear" w:color="auto" w:fill="auto"/>
        <w:spacing w:line="440" w:lineRule="exact"/>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九、保密</w:t>
      </w:r>
    </w:p>
    <w:p w14:paraId="179210EA">
      <w:pPr>
        <w:shd w:val="clear" w:color="auto" w:fill="auto"/>
        <w:spacing w:line="440" w:lineRule="exact"/>
        <w:ind w:firstLine="420"/>
        <w:outlineLvl w:val="6"/>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乙方将采取一切必要措施，以防止其任何关联人员、雇员、代理人或任何其他人员非法使用或披露任何保密信息资料，否则甲方有权据此单方解除合同，乙方应承担甲方因此所受一切损失。</w:t>
      </w:r>
    </w:p>
    <w:p w14:paraId="4C2044D2">
      <w:pPr>
        <w:shd w:val="clear" w:color="auto" w:fill="auto"/>
        <w:spacing w:line="440" w:lineRule="exact"/>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十、知识产权</w:t>
      </w:r>
    </w:p>
    <w:p w14:paraId="4868FA0A">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乙方应保证所提供的货物或其任何一部分均不会侵犯任何第三方的知识产权，不得违反国家法律法规规定，否则因此造成第三方向甲方主张权利、处罚、诉讼的，由乙方负责解决，甲方有权就所遭受的全部损失向乙方追偿（损失包括但不限于律师代理费、诉讼费、差旅费、调查费、保全费、因保全而产生的相关担保费等、鉴定费等全部损失和费用），并要求乙方承担违约责任。乙方服务过程中所采用的专利、专有技术的使用费由乙方承担。</w:t>
      </w:r>
    </w:p>
    <w:p w14:paraId="405F884E">
      <w:pPr>
        <w:shd w:val="clear" w:color="auto" w:fill="auto"/>
        <w:spacing w:line="440" w:lineRule="exact"/>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十一、产权担保</w:t>
      </w:r>
    </w:p>
    <w:p w14:paraId="583ECEA4">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乙方保证所交付的货物的所有权完全属于乙方且无任何抵押、查封等产权瑕疵。</w:t>
      </w:r>
      <w:r>
        <w:rPr>
          <w:rFonts w:hint="eastAsia" w:ascii="宋体" w:hAnsi="宋体" w:eastAsia="宋体" w:cs="宋体"/>
          <w:color w:val="000000"/>
          <w:spacing w:val="3"/>
          <w:sz w:val="24"/>
          <w:szCs w:val="24"/>
          <w:highlight w:val="none"/>
        </w:rPr>
        <w:tab/>
      </w:r>
    </w:p>
    <w:p w14:paraId="360A87C3">
      <w:pPr>
        <w:shd w:val="clear" w:color="auto" w:fill="auto"/>
        <w:spacing w:line="440" w:lineRule="exact"/>
        <w:ind w:firstLine="494" w:firstLineChars="200"/>
        <w:outlineLvl w:val="6"/>
        <w:rPr>
          <w:rFonts w:hint="eastAsia" w:ascii="宋体" w:hAnsi="宋体" w:eastAsia="宋体" w:cs="宋体"/>
          <w:color w:val="000000"/>
          <w:sz w:val="24"/>
          <w:szCs w:val="24"/>
          <w:highlight w:val="none"/>
        </w:rPr>
      </w:pPr>
      <w:r>
        <w:rPr>
          <w:rFonts w:hint="eastAsia" w:ascii="宋体" w:hAnsi="宋体" w:eastAsia="宋体" w:cs="宋体"/>
          <w:b/>
          <w:bCs/>
          <w:color w:val="000000"/>
          <w:spacing w:val="3"/>
          <w:sz w:val="24"/>
          <w:szCs w:val="24"/>
          <w:highlight w:val="none"/>
        </w:rPr>
        <w:t>十二、违约责任</w:t>
      </w:r>
    </w:p>
    <w:p w14:paraId="47FF109B">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1.对于验收不合格的货物，双方按照以下方式处理：</w:t>
      </w:r>
    </w:p>
    <w:p w14:paraId="1590E671">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1.1甲方尚未使用的，乙方应当立即自费运回，逾期视为遗弃。另应无条件2日内更换合格的货物至甲方，由此产生的运输费、装卸费等一切费用由乙方承担。同时乙方按照该批次货物对应合同金额的5%承担违约金。如乙方拒绝或逾期更换的，视同逾期交货，应承担逾期交货责任。</w:t>
      </w:r>
    </w:p>
    <w:p w14:paraId="1DB1336F">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1.2甲方已经使用的，则存在</w:t>
      </w:r>
      <w:r>
        <w:rPr>
          <w:rFonts w:hint="eastAsia" w:ascii="宋体" w:hAnsi="宋体" w:eastAsia="宋体" w:cs="宋体"/>
          <w:sz w:val="24"/>
          <w:szCs w:val="24"/>
          <w:highlight w:val="none"/>
          <w:lang w:val="en-US" w:eastAsia="zh-CN"/>
        </w:rPr>
        <w:t>检测</w:t>
      </w:r>
      <w:r>
        <w:rPr>
          <w:rFonts w:hint="eastAsia" w:ascii="宋体" w:hAnsi="宋体" w:eastAsia="宋体" w:cs="宋体"/>
          <w:sz w:val="24"/>
          <w:szCs w:val="24"/>
          <w:highlight w:val="none"/>
        </w:rPr>
        <w:t>指标（</w:t>
      </w:r>
      <w:r>
        <w:rPr>
          <w:rFonts w:hint="eastAsia" w:ascii="宋体" w:hAnsi="宋体" w:eastAsia="宋体" w:cs="宋体"/>
          <w:sz w:val="24"/>
          <w:szCs w:val="24"/>
          <w:highlight w:val="none"/>
          <w:lang w:val="en-US" w:eastAsia="zh-CN"/>
        </w:rPr>
        <w:t>氢氧化钠含量</w:t>
      </w:r>
      <w:r>
        <w:rPr>
          <w:rFonts w:hint="eastAsia" w:ascii="宋体" w:hAnsi="宋体" w:eastAsia="宋体" w:cs="宋体"/>
          <w:sz w:val="24"/>
          <w:szCs w:val="24"/>
          <w:highlight w:val="none"/>
        </w:rPr>
        <w:t>）未达到合同要求，甲方扣除该批次货款的20%作为违约金。不合格货物如造成甲方损失的，乙方应当足额赔偿。如该批次货款已支付的，甲方有权在履约保证金、应付乙方款项中扣除或另行向乙方追缴。</w:t>
      </w:r>
    </w:p>
    <w:p w14:paraId="07258D37">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如出现三次及以上第三方检测不合格情形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同时造成甲方生产影响，经甲方约谈后1个月内乙方仍未改进的，甲方有权终止合同，扣除全部合同履约保证金，取消乙方参加甲方二年内所有采购项目的资格。</w:t>
      </w:r>
    </w:p>
    <w:p w14:paraId="2F1EE50E">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乙方供货对甲方的生产工艺造成影响或乙方存在弄虚作假情况的，取消乙方参加甲方二年内所有采购项目的资格，并要求乙方赔偿由此给甲方造成的损失。</w:t>
      </w:r>
    </w:p>
    <w:p w14:paraId="5BBB141A">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2.逾期交货违约责任和赔偿：</w:t>
      </w:r>
    </w:p>
    <w:p w14:paraId="68B3FBF4">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如乙方逾期供货的，每逾期一天应支付甲方违约金5000元。逾期超过10天的，甲方有权单方解除合同，扣罚全部合同履约保证金，并要求乙方赔偿由此给甲方造成的损失。经双方同意延期交货不在此列。</w:t>
      </w:r>
    </w:p>
    <w:p w14:paraId="7A15501D">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3.由于乙方违约对甲方造成的所有损失（包括因所供产品质量问题导致甲方生产经营损失、甲方被主管部门处罚等损失），全部由乙方承担赔偿责任。</w:t>
      </w:r>
    </w:p>
    <w:p w14:paraId="6C42A13F">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4.因甲方违约造成终止合同，甲方应退还乙方缴纳的履约保证金。但属执行国家行政指令造成的合同终止，不</w:t>
      </w:r>
      <w:r>
        <w:rPr>
          <w:rFonts w:hint="eastAsia" w:cs="宋体"/>
          <w:sz w:val="24"/>
          <w:szCs w:val="24"/>
          <w:highlight w:val="none"/>
          <w:lang w:val="en-US" w:eastAsia="zh-CN"/>
        </w:rPr>
        <w:t>属于</w:t>
      </w:r>
      <w:r>
        <w:rPr>
          <w:rFonts w:hint="eastAsia" w:ascii="宋体" w:hAnsi="宋体" w:eastAsia="宋体" w:cs="宋体"/>
          <w:sz w:val="24"/>
          <w:szCs w:val="24"/>
          <w:highlight w:val="none"/>
        </w:rPr>
        <w:t>违约。</w:t>
      </w:r>
    </w:p>
    <w:p w14:paraId="1CC3DDB8">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5.乙方的送货车辆与人员一旦进入甲方厂区内，必须严格遵守甲方的内部管理要求。乙方若在进货、卸货、药剂投加过程中发生抽烟、随意丢弃垃圾等不良情况的，除相应损失由乙方照价赔偿外，对抽烟、随意丢弃垃圾等不良情况每发现1次扣款500元人民币，发现3次则须调换驾驶员。</w:t>
      </w:r>
      <w:r>
        <w:rPr>
          <w:rFonts w:hint="eastAsia" w:cs="宋体"/>
          <w:sz w:val="24"/>
          <w:szCs w:val="24"/>
          <w:highlight w:val="none"/>
          <w:lang w:val="en-US" w:eastAsia="zh-CN"/>
        </w:rPr>
        <w:t>乙方调换的驾驶员须经甲方同意，否则应承担相应责任。</w:t>
      </w:r>
    </w:p>
    <w:p w14:paraId="62AD8605">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6.严格遵守交通法规及甲方内部制度，自行负责装卸、运输等过程中的安全环保工作，上述过程中若出现意外，一切经济损失和法律责任由乙方承担，甲方不承担任何责任。</w:t>
      </w:r>
    </w:p>
    <w:p w14:paraId="05331B19">
      <w:pPr>
        <w:pStyle w:val="19"/>
        <w:shd w:val="clear" w:color="auto" w:fill="auto"/>
        <w:spacing w:before="0" w:beforeAutospacing="0" w:after="0" w:afterAutospacing="0" w:line="360" w:lineRule="auto"/>
        <w:ind w:firstLine="431"/>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7.在终止合同的情况下，并不解除乙方按已交货部分材料应负的产品质量责任。</w:t>
      </w:r>
    </w:p>
    <w:p w14:paraId="65787F59">
      <w:pPr>
        <w:shd w:val="clear" w:color="auto" w:fill="auto"/>
        <w:spacing w:line="360" w:lineRule="auto"/>
        <w:ind w:firstLine="492" w:firstLineChars="200"/>
        <w:outlineLvl w:val="6"/>
        <w:rPr>
          <w:rFonts w:hint="eastAsia" w:ascii="宋体" w:hAnsi="宋体" w:eastAsia="宋体" w:cs="宋体"/>
          <w:b w:val="0"/>
          <w:bCs w:val="0"/>
          <w:color w:val="000000"/>
          <w:spacing w:val="3"/>
          <w:sz w:val="24"/>
          <w:szCs w:val="24"/>
          <w:highlight w:val="none"/>
          <w:lang w:val="en-US" w:eastAsia="zh-CN"/>
        </w:rPr>
      </w:pPr>
      <w:r>
        <w:rPr>
          <w:rFonts w:hint="eastAsia" w:ascii="宋体" w:hAnsi="宋体" w:eastAsia="宋体" w:cs="宋体"/>
          <w:b w:val="0"/>
          <w:bCs w:val="0"/>
          <w:color w:val="000000"/>
          <w:spacing w:val="3"/>
          <w:sz w:val="24"/>
          <w:szCs w:val="24"/>
          <w:highlight w:val="none"/>
          <w:lang w:val="en-US" w:eastAsia="zh-CN"/>
        </w:rPr>
        <w:t>8.乙方承诺中标后所供货物的生产厂家与投标时的生产或授权厂家完全一致。乙方违反前述约定的，扣除2000元/次，被发现三次以上的，甲方有权解除合同，没收乙方全部履约保证金，并将乙方列入《杭州市环境集团有限公司黑名单供应商名录库》，取消其两年内在甲方及甲方分子公司及其他关联方组织的任何招标或采购中的供应商资格。</w:t>
      </w:r>
    </w:p>
    <w:p w14:paraId="42512B54">
      <w:pPr>
        <w:shd w:val="clear" w:color="auto" w:fill="auto"/>
        <w:spacing w:line="360" w:lineRule="auto"/>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十三、售后服务</w:t>
      </w:r>
    </w:p>
    <w:p w14:paraId="1E852ADF">
      <w:pPr>
        <w:shd w:val="clear" w:color="auto" w:fill="auto"/>
        <w:spacing w:line="360" w:lineRule="auto"/>
        <w:ind w:firstLine="492" w:firstLineChars="200"/>
        <w:outlineLvl w:val="6"/>
        <w:rPr>
          <w:rFonts w:hint="eastAsia" w:ascii="宋体" w:hAnsi="宋体" w:eastAsia="宋体" w:cs="宋体"/>
          <w:color w:val="000000"/>
          <w:spacing w:val="3"/>
          <w:sz w:val="24"/>
          <w:szCs w:val="24"/>
          <w:highlight w:val="none"/>
          <w:lang w:val="en-US" w:eastAsia="zh-CN"/>
        </w:rPr>
      </w:pPr>
      <w:r>
        <w:rPr>
          <w:rFonts w:hint="eastAsia" w:ascii="宋体" w:hAnsi="宋体" w:eastAsia="宋体" w:cs="宋体"/>
          <w:color w:val="000000"/>
          <w:spacing w:val="3"/>
          <w:sz w:val="24"/>
          <w:szCs w:val="24"/>
          <w:highlight w:val="none"/>
          <w:lang w:val="en-US" w:eastAsia="zh-CN"/>
        </w:rPr>
        <w:t>1.乙方必须满足甲方售后服务要求。如产品使用过程发生问题，乙方须在接到甲方通知后24小时内做出书面答复并提供解决方案。若需要派遣技术人员，则应在接到甲方通知后48小时内派遣生产厂家技术人员到达现场进行免费指导解决问题。</w:t>
      </w:r>
    </w:p>
    <w:p w14:paraId="2AF22BB6">
      <w:pPr>
        <w:shd w:val="clear" w:color="auto" w:fill="auto"/>
        <w:spacing w:line="360" w:lineRule="auto"/>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lang w:val="en-US" w:eastAsia="zh-CN"/>
        </w:rPr>
        <w:t>2.乙方自行协调处理与属地运输、公安等部门之间的关系，确保供货渠道畅通、不得影响甲方正常生产。</w:t>
      </w:r>
    </w:p>
    <w:p w14:paraId="3A9997F3">
      <w:pPr>
        <w:shd w:val="clear" w:color="auto" w:fill="auto"/>
        <w:spacing w:line="360" w:lineRule="auto"/>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十四、不可抗力事件处理</w:t>
      </w:r>
    </w:p>
    <w:p w14:paraId="1EB2ABB0">
      <w:pPr>
        <w:shd w:val="clear" w:color="auto" w:fill="auto"/>
        <w:spacing w:line="360" w:lineRule="auto"/>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在合同有效期内，任何一方因不可抗力事件导致不能履行合同应当立即通知另一方确认并提供相应的证明材料，确系不可抗力影响则合同履行期可延长，其延长期与不可抗力影响期相同。</w:t>
      </w:r>
    </w:p>
    <w:p w14:paraId="79FA814D">
      <w:pPr>
        <w:shd w:val="clear" w:color="auto" w:fill="auto"/>
        <w:spacing w:line="360" w:lineRule="auto"/>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十五、争议解决</w:t>
      </w:r>
    </w:p>
    <w:p w14:paraId="13AF3310">
      <w:pPr>
        <w:shd w:val="clear" w:color="auto" w:fill="auto"/>
        <w:spacing w:line="360" w:lineRule="auto"/>
        <w:ind w:firstLine="492" w:firstLineChars="200"/>
        <w:outlineLvl w:val="6"/>
        <w:rPr>
          <w:rFonts w:hint="eastAsia" w:ascii="宋体" w:hAnsi="宋体" w:eastAsia="宋体" w:cs="宋体"/>
          <w:bCs/>
          <w:color w:val="000000"/>
          <w:spacing w:val="3"/>
          <w:sz w:val="24"/>
          <w:szCs w:val="24"/>
          <w:highlight w:val="none"/>
        </w:rPr>
      </w:pPr>
      <w:r>
        <w:rPr>
          <w:rFonts w:hint="eastAsia" w:ascii="宋体" w:hAnsi="宋体" w:eastAsia="宋体" w:cs="宋体"/>
          <w:bCs/>
          <w:color w:val="000000"/>
          <w:spacing w:val="3"/>
          <w:sz w:val="24"/>
          <w:szCs w:val="24"/>
          <w:highlight w:val="none"/>
        </w:rPr>
        <w:t>因本合同引起的争议，首先由双方友好协商解决；协商不成的，由甲方所在地人民法院管辖。</w:t>
      </w:r>
    </w:p>
    <w:p w14:paraId="35DE51E9">
      <w:pPr>
        <w:shd w:val="clear" w:color="auto" w:fill="auto"/>
        <w:spacing w:line="360" w:lineRule="auto"/>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十六、通知与送达</w:t>
      </w:r>
    </w:p>
    <w:p w14:paraId="52FCBDD0">
      <w:pPr>
        <w:pStyle w:val="67"/>
        <w:shd w:val="clear" w:color="auto" w:fill="auto"/>
        <w:spacing w:after="100" w:line="360" w:lineRule="auto"/>
        <w:ind w:firstLine="432"/>
        <w:rPr>
          <w:rFonts w:hint="eastAsia" w:ascii="宋体" w:hAnsi="宋体" w:eastAsia="宋体" w:cs="宋体"/>
          <w:bCs/>
          <w:snapToGrid w:val="0"/>
          <w:color w:val="000000"/>
          <w:spacing w:val="3"/>
          <w:kern w:val="0"/>
          <w:sz w:val="24"/>
          <w:szCs w:val="24"/>
          <w:highlight w:val="none"/>
        </w:rPr>
      </w:pPr>
      <w:r>
        <w:rPr>
          <w:rFonts w:hint="eastAsia" w:ascii="宋体" w:hAnsi="宋体" w:eastAsia="宋体" w:cs="宋体"/>
          <w:bCs/>
          <w:snapToGrid w:val="0"/>
          <w:color w:val="000000"/>
          <w:spacing w:val="3"/>
          <w:kern w:val="0"/>
          <w:sz w:val="24"/>
          <w:szCs w:val="24"/>
          <w:highlight w:val="none"/>
        </w:rPr>
        <w:t>1.一方向另一方发出的任何通知应当采用书面形式，可以通过专人递送或特快专递发送到本协议载明的联系地址。如果通过专人递送，该等通知在接收时即应视为已经送达；如果通过特快专递，该等通知在发出之日后三个工作日即应视为已经送达。一方变更联系信息，应提前二个工作日书面通知另一方变更后的联系方式。否则，由未通知方承担不利后果。</w:t>
      </w:r>
    </w:p>
    <w:p w14:paraId="05412C50">
      <w:pPr>
        <w:shd w:val="clear" w:color="auto" w:fill="auto"/>
        <w:spacing w:line="360" w:lineRule="auto"/>
        <w:ind w:firstLine="492" w:firstLineChars="200"/>
        <w:outlineLvl w:val="6"/>
        <w:rPr>
          <w:rFonts w:hint="eastAsia" w:ascii="宋体" w:hAnsi="宋体" w:eastAsia="宋体" w:cs="宋体"/>
          <w:bCs/>
          <w:color w:val="000000"/>
          <w:spacing w:val="3"/>
          <w:sz w:val="24"/>
          <w:szCs w:val="24"/>
          <w:highlight w:val="none"/>
        </w:rPr>
      </w:pPr>
      <w:r>
        <w:rPr>
          <w:rFonts w:hint="eastAsia" w:ascii="宋体" w:hAnsi="宋体" w:eastAsia="宋体" w:cs="宋体"/>
          <w:bCs/>
          <w:color w:val="000000"/>
          <w:spacing w:val="3"/>
          <w:sz w:val="24"/>
          <w:szCs w:val="24"/>
          <w:highlight w:val="none"/>
        </w:rPr>
        <w:t>2.本协议项下的地址、联系电话等联系方式均为各方有效的送达地址（包括但不限于接收通知、文件以及债务催收和司法文书等）。各方一致确认可以将前述送达地址直接作为相关文件或文书的有效送</w:t>
      </w:r>
    </w:p>
    <w:p w14:paraId="53A8DB59">
      <w:pPr>
        <w:shd w:val="clear" w:color="auto" w:fill="auto"/>
        <w:spacing w:line="360" w:lineRule="auto"/>
        <w:outlineLvl w:val="6"/>
        <w:rPr>
          <w:rFonts w:hint="eastAsia" w:ascii="宋体" w:hAnsi="宋体" w:eastAsia="宋体" w:cs="宋体"/>
          <w:bCs/>
          <w:color w:val="000000"/>
          <w:spacing w:val="3"/>
          <w:sz w:val="24"/>
          <w:szCs w:val="24"/>
          <w:highlight w:val="none"/>
        </w:rPr>
      </w:pPr>
      <w:r>
        <w:rPr>
          <w:rFonts w:hint="eastAsia" w:ascii="宋体" w:hAnsi="宋体" w:eastAsia="宋体" w:cs="宋体"/>
          <w:bCs/>
          <w:color w:val="000000"/>
          <w:spacing w:val="3"/>
          <w:sz w:val="24"/>
          <w:szCs w:val="24"/>
          <w:highlight w:val="none"/>
        </w:rPr>
        <w:t>达地址。</w:t>
      </w:r>
    </w:p>
    <w:p w14:paraId="2EDDC49F">
      <w:pPr>
        <w:shd w:val="clear" w:color="auto" w:fill="auto"/>
        <w:spacing w:line="360" w:lineRule="auto"/>
        <w:ind w:firstLine="494" w:firstLineChars="200"/>
        <w:outlineLvl w:val="6"/>
        <w:rPr>
          <w:rFonts w:hint="eastAsia" w:ascii="宋体" w:hAnsi="宋体" w:eastAsia="宋体" w:cs="宋体"/>
          <w:b/>
          <w:bCs/>
          <w:color w:val="000000"/>
          <w:spacing w:val="3"/>
          <w:sz w:val="24"/>
          <w:szCs w:val="24"/>
          <w:highlight w:val="none"/>
        </w:rPr>
      </w:pPr>
      <w:r>
        <w:rPr>
          <w:rFonts w:hint="eastAsia" w:ascii="宋体" w:hAnsi="宋体" w:eastAsia="宋体" w:cs="宋体"/>
          <w:b/>
          <w:bCs/>
          <w:color w:val="000000"/>
          <w:spacing w:val="3"/>
          <w:sz w:val="24"/>
          <w:szCs w:val="24"/>
          <w:highlight w:val="none"/>
        </w:rPr>
        <w:t>十七、合同的生效</w:t>
      </w:r>
    </w:p>
    <w:p w14:paraId="5928A909">
      <w:pPr>
        <w:shd w:val="clear" w:color="auto" w:fill="auto"/>
        <w:spacing w:line="360" w:lineRule="auto"/>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1.本合同经甲、乙双方盖章后生效。项目采购过程中有关招标文件、投标文件、澄清文件、承诺书等均为本合同的组成部分，与本合同具有同等效力。本合同未尽事宜以招标、投标文件为准，文件有矛盾之处，以时间后者为准。</w:t>
      </w:r>
    </w:p>
    <w:p w14:paraId="7DFBDE4D">
      <w:pPr>
        <w:shd w:val="clear" w:color="auto" w:fill="auto"/>
        <w:spacing w:line="360" w:lineRule="auto"/>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2.本合同一式6份，甲方执4份、乙方执2份，效力相同。</w:t>
      </w:r>
    </w:p>
    <w:p w14:paraId="16210438">
      <w:pPr>
        <w:pStyle w:val="16"/>
        <w:shd w:val="clear" w:color="auto" w:fill="auto"/>
        <w:spacing w:line="360" w:lineRule="auto"/>
        <w:ind w:firstLine="492" w:firstLineChars="200"/>
        <w:outlineLvl w:val="6"/>
        <w:rPr>
          <w:rFonts w:hint="eastAsia" w:ascii="宋体" w:hAnsi="宋体" w:eastAsia="宋体" w:cs="宋体"/>
          <w:color w:val="000000"/>
          <w:spacing w:val="3"/>
          <w:sz w:val="24"/>
          <w:szCs w:val="24"/>
          <w:highlight w:val="none"/>
        </w:rPr>
      </w:pPr>
    </w:p>
    <w:p w14:paraId="18C8BBEF">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 xml:space="preserve">甲方（盖章）：                         乙方（盖章）：             </w:t>
      </w:r>
    </w:p>
    <w:p w14:paraId="6B5ABCD0">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 xml:space="preserve">法定代表人或授权代表（签字）：         法定代表人或授权代表（签字）：                   </w:t>
      </w:r>
    </w:p>
    <w:p w14:paraId="54A00851">
      <w:pPr>
        <w:shd w:val="clear" w:color="auto" w:fill="auto"/>
        <w:spacing w:line="440" w:lineRule="exact"/>
        <w:ind w:firstLine="492" w:firstLineChars="200"/>
        <w:outlineLvl w:val="6"/>
        <w:rPr>
          <w:rFonts w:hint="eastAsia" w:ascii="宋体" w:hAnsi="宋体" w:eastAsia="宋体" w:cs="宋体"/>
          <w:color w:val="000000"/>
          <w:spacing w:val="3"/>
          <w:sz w:val="24"/>
          <w:szCs w:val="24"/>
          <w:highlight w:val="none"/>
        </w:rPr>
      </w:pPr>
      <w:r>
        <w:rPr>
          <w:rFonts w:hint="eastAsia" w:ascii="宋体" w:hAnsi="宋体" w:eastAsia="宋体" w:cs="宋体"/>
          <w:color w:val="000000"/>
          <w:spacing w:val="3"/>
          <w:sz w:val="24"/>
          <w:szCs w:val="24"/>
          <w:highlight w:val="none"/>
        </w:rPr>
        <w:t>签订日期：  年  月  日</w:t>
      </w:r>
    </w:p>
    <w:p w14:paraId="42569270">
      <w:pPr>
        <w:shd w:val="clear" w:color="auto" w:fill="auto"/>
        <w:spacing w:before="65" w:line="440" w:lineRule="exact"/>
        <w:ind w:firstLine="109"/>
        <w:rPr>
          <w:rFonts w:hint="eastAsia" w:ascii="宋体" w:hAnsi="宋体" w:eastAsia="宋体" w:cs="宋体"/>
          <w:color w:val="000000"/>
          <w:sz w:val="24"/>
          <w:szCs w:val="24"/>
          <w:highlight w:val="none"/>
        </w:rPr>
      </w:pPr>
    </w:p>
    <w:p w14:paraId="6D733B26">
      <w:pPr>
        <w:shd w:val="clear" w:color="auto" w:fill="auto"/>
        <w:spacing w:before="78" w:line="400" w:lineRule="exact"/>
        <w:rPr>
          <w:rFonts w:hint="eastAsia" w:ascii="宋体" w:hAnsi="宋体" w:eastAsia="宋体" w:cs="宋体"/>
          <w:color w:val="000000"/>
          <w:sz w:val="24"/>
          <w:szCs w:val="24"/>
          <w:highlight w:val="none"/>
        </w:rPr>
      </w:pPr>
    </w:p>
    <w:p w14:paraId="5681D1C8">
      <w:pPr>
        <w:shd w:val="clear" w:color="auto" w:fill="auto"/>
        <w:spacing w:before="78" w:line="400" w:lineRule="exact"/>
        <w:rPr>
          <w:rFonts w:hint="eastAsia" w:ascii="宋体" w:hAnsi="宋体" w:eastAsia="宋体" w:cs="宋体"/>
          <w:color w:val="000000"/>
          <w:sz w:val="24"/>
          <w:szCs w:val="24"/>
          <w:highlight w:val="none"/>
        </w:rPr>
      </w:pPr>
    </w:p>
    <w:p w14:paraId="609ADCB7">
      <w:pPr>
        <w:shd w:val="clear" w:color="auto" w:fill="auto"/>
        <w:spacing w:before="78" w:line="400" w:lineRule="exact"/>
        <w:rPr>
          <w:rFonts w:hint="eastAsia" w:ascii="宋体" w:hAnsi="宋体" w:eastAsia="宋体" w:cs="宋体"/>
          <w:color w:val="000000"/>
          <w:sz w:val="24"/>
          <w:szCs w:val="24"/>
          <w:highlight w:val="none"/>
        </w:rPr>
      </w:pPr>
    </w:p>
    <w:p w14:paraId="5C6D3A8E">
      <w:pPr>
        <w:shd w:val="clear" w:color="auto" w:fill="auto"/>
        <w:spacing w:before="78" w:line="400" w:lineRule="exact"/>
        <w:rPr>
          <w:rFonts w:hint="eastAsia" w:ascii="宋体" w:hAnsi="宋体" w:eastAsia="宋体" w:cs="宋体"/>
          <w:color w:val="000000"/>
          <w:sz w:val="24"/>
          <w:szCs w:val="24"/>
          <w:highlight w:val="none"/>
        </w:rPr>
      </w:pPr>
    </w:p>
    <w:p w14:paraId="43081793">
      <w:pPr>
        <w:shd w:val="clear" w:color="auto" w:fill="auto"/>
        <w:spacing w:before="78" w:line="400" w:lineRule="exact"/>
        <w:rPr>
          <w:rFonts w:hint="eastAsia" w:ascii="宋体" w:hAnsi="宋体" w:eastAsia="宋体" w:cs="宋体"/>
          <w:color w:val="000000"/>
          <w:sz w:val="24"/>
          <w:szCs w:val="24"/>
          <w:highlight w:val="none"/>
        </w:rPr>
      </w:pPr>
    </w:p>
    <w:p w14:paraId="42B41C31">
      <w:pPr>
        <w:shd w:val="clear" w:color="auto" w:fill="auto"/>
        <w:spacing w:before="78" w:line="400" w:lineRule="exact"/>
        <w:rPr>
          <w:rFonts w:hint="eastAsia" w:ascii="宋体" w:hAnsi="宋体" w:eastAsia="宋体" w:cs="宋体"/>
          <w:color w:val="000000"/>
          <w:sz w:val="24"/>
          <w:szCs w:val="24"/>
          <w:highlight w:val="none"/>
        </w:rPr>
      </w:pPr>
    </w:p>
    <w:p w14:paraId="29665CC9">
      <w:pPr>
        <w:shd w:val="clear" w:color="auto" w:fill="auto"/>
        <w:spacing w:before="78" w:line="400" w:lineRule="exact"/>
        <w:rPr>
          <w:rFonts w:hint="eastAsia" w:ascii="宋体" w:hAnsi="宋体" w:eastAsia="宋体" w:cs="宋体"/>
          <w:color w:val="000000"/>
          <w:sz w:val="24"/>
          <w:szCs w:val="24"/>
          <w:highlight w:val="none"/>
        </w:rPr>
      </w:pPr>
    </w:p>
    <w:p w14:paraId="64EE91CB">
      <w:pPr>
        <w:shd w:val="clear" w:color="auto" w:fill="auto"/>
        <w:spacing w:before="78" w:line="400" w:lineRule="exact"/>
        <w:rPr>
          <w:rFonts w:hint="eastAsia" w:ascii="宋体" w:hAnsi="宋体" w:eastAsia="宋体" w:cs="宋体"/>
          <w:color w:val="000000"/>
          <w:sz w:val="24"/>
          <w:szCs w:val="24"/>
          <w:highlight w:val="none"/>
        </w:rPr>
      </w:pPr>
    </w:p>
    <w:p w14:paraId="291B8E4A">
      <w:pPr>
        <w:shd w:val="clear" w:color="auto" w:fill="auto"/>
        <w:spacing w:before="78" w:line="400" w:lineRule="exact"/>
        <w:rPr>
          <w:rFonts w:hint="eastAsia" w:ascii="宋体" w:hAnsi="宋体" w:eastAsia="宋体" w:cs="宋体"/>
          <w:color w:val="000000"/>
          <w:sz w:val="24"/>
          <w:szCs w:val="24"/>
          <w:highlight w:val="none"/>
        </w:rPr>
      </w:pPr>
    </w:p>
    <w:p w14:paraId="219F4370">
      <w:pPr>
        <w:shd w:val="clear" w:color="auto" w:fill="auto"/>
        <w:spacing w:before="78" w:line="400" w:lineRule="exact"/>
        <w:rPr>
          <w:rFonts w:hint="eastAsia" w:ascii="宋体" w:hAnsi="宋体" w:eastAsia="宋体" w:cs="宋体"/>
          <w:color w:val="000000"/>
          <w:sz w:val="24"/>
          <w:szCs w:val="24"/>
          <w:highlight w:val="none"/>
        </w:rPr>
      </w:pPr>
    </w:p>
    <w:p w14:paraId="3A407E6E">
      <w:pPr>
        <w:shd w:val="clear" w:color="auto" w:fill="auto"/>
        <w:spacing w:before="78" w:line="400" w:lineRule="exact"/>
        <w:rPr>
          <w:rFonts w:hint="eastAsia" w:ascii="宋体" w:hAnsi="宋体" w:eastAsia="宋体" w:cs="宋体"/>
          <w:color w:val="000000"/>
          <w:sz w:val="24"/>
          <w:szCs w:val="24"/>
          <w:highlight w:val="none"/>
        </w:rPr>
      </w:pPr>
    </w:p>
    <w:p w14:paraId="73FE6F91">
      <w:pPr>
        <w:shd w:val="clear" w:color="auto" w:fill="auto"/>
        <w:spacing w:before="78" w:line="400" w:lineRule="exact"/>
        <w:rPr>
          <w:rFonts w:hint="eastAsia" w:ascii="宋体" w:hAnsi="宋体" w:eastAsia="宋体" w:cs="宋体"/>
          <w:color w:val="000000"/>
          <w:sz w:val="24"/>
          <w:szCs w:val="24"/>
          <w:highlight w:val="none"/>
        </w:rPr>
      </w:pPr>
    </w:p>
    <w:p w14:paraId="24E4C563">
      <w:pPr>
        <w:shd w:val="clear" w:color="auto" w:fill="auto"/>
        <w:spacing w:before="78" w:line="400" w:lineRule="exact"/>
        <w:rPr>
          <w:rFonts w:hint="eastAsia" w:ascii="宋体" w:hAnsi="宋体" w:eastAsia="宋体" w:cs="宋体"/>
          <w:color w:val="000000"/>
          <w:sz w:val="24"/>
          <w:szCs w:val="24"/>
          <w:highlight w:val="none"/>
        </w:rPr>
      </w:pPr>
    </w:p>
    <w:p w14:paraId="24F4DFF9">
      <w:pPr>
        <w:shd w:val="clear" w:color="auto" w:fill="auto"/>
        <w:spacing w:before="78" w:line="400" w:lineRule="exact"/>
        <w:rPr>
          <w:rFonts w:hint="eastAsia" w:ascii="宋体" w:hAnsi="宋体" w:eastAsia="宋体" w:cs="宋体"/>
          <w:color w:val="000000"/>
          <w:sz w:val="24"/>
          <w:szCs w:val="24"/>
          <w:highlight w:val="none"/>
        </w:rPr>
      </w:pPr>
    </w:p>
    <w:p w14:paraId="681CCDAA">
      <w:pPr>
        <w:shd w:val="clear" w:color="auto" w:fill="auto"/>
        <w:spacing w:before="78" w:line="400" w:lineRule="exact"/>
        <w:rPr>
          <w:rFonts w:hint="eastAsia" w:ascii="宋体" w:hAnsi="宋体" w:eastAsia="宋体" w:cs="宋体"/>
          <w:color w:val="000000"/>
          <w:sz w:val="24"/>
          <w:szCs w:val="24"/>
          <w:highlight w:val="none"/>
        </w:rPr>
      </w:pPr>
    </w:p>
    <w:p w14:paraId="5C776A2B">
      <w:pPr>
        <w:shd w:val="clear" w:color="auto" w:fill="auto"/>
        <w:spacing w:before="78" w:line="400" w:lineRule="exact"/>
        <w:rPr>
          <w:rFonts w:hint="eastAsia" w:ascii="宋体" w:hAnsi="宋体" w:eastAsia="宋体" w:cs="宋体"/>
          <w:color w:val="000000"/>
          <w:sz w:val="24"/>
          <w:szCs w:val="24"/>
          <w:highlight w:val="none"/>
        </w:rPr>
      </w:pPr>
    </w:p>
    <w:p w14:paraId="60E201A5">
      <w:pPr>
        <w:shd w:val="clear" w:color="auto" w:fill="auto"/>
        <w:spacing w:before="78" w:line="400" w:lineRule="exact"/>
        <w:rPr>
          <w:rFonts w:hint="eastAsia" w:ascii="宋体" w:hAnsi="宋体" w:eastAsia="宋体" w:cs="宋体"/>
          <w:color w:val="000000"/>
          <w:sz w:val="24"/>
          <w:szCs w:val="24"/>
          <w:highlight w:val="none"/>
        </w:rPr>
      </w:pPr>
    </w:p>
    <w:p w14:paraId="38497F82">
      <w:pPr>
        <w:shd w:val="clear" w:color="auto" w:fill="auto"/>
        <w:spacing w:before="78" w:line="400" w:lineRule="exact"/>
        <w:rPr>
          <w:rFonts w:hint="eastAsia" w:ascii="宋体" w:hAnsi="宋体" w:eastAsia="宋体" w:cs="宋体"/>
          <w:color w:val="000000"/>
          <w:sz w:val="24"/>
          <w:szCs w:val="24"/>
          <w:highlight w:val="none"/>
        </w:rPr>
      </w:pPr>
    </w:p>
    <w:p w14:paraId="1AA1053E">
      <w:pPr>
        <w:shd w:val="clear" w:color="auto" w:fill="auto"/>
        <w:spacing w:before="78" w:line="400" w:lineRule="exact"/>
        <w:rPr>
          <w:rFonts w:hint="eastAsia" w:ascii="宋体" w:hAnsi="宋体" w:eastAsia="宋体" w:cs="宋体"/>
          <w:color w:val="000000"/>
          <w:sz w:val="24"/>
          <w:szCs w:val="24"/>
          <w:highlight w:val="none"/>
        </w:rPr>
      </w:pPr>
    </w:p>
    <w:p w14:paraId="62E69246">
      <w:pPr>
        <w:shd w:val="clear" w:color="auto" w:fill="auto"/>
        <w:spacing w:before="78" w:line="400" w:lineRule="exact"/>
        <w:rPr>
          <w:rFonts w:hint="eastAsia" w:ascii="宋体" w:hAnsi="宋体" w:eastAsia="宋体" w:cs="宋体"/>
          <w:color w:val="000000"/>
          <w:sz w:val="24"/>
          <w:szCs w:val="24"/>
          <w:highlight w:val="none"/>
        </w:rPr>
      </w:pPr>
    </w:p>
    <w:p w14:paraId="609B6AD4">
      <w:pPr>
        <w:shd w:val="clear" w:color="auto" w:fill="auto"/>
        <w:spacing w:before="78" w:line="400" w:lineRule="exact"/>
        <w:rPr>
          <w:rFonts w:hint="eastAsia" w:ascii="宋体" w:hAnsi="宋体" w:eastAsia="宋体" w:cs="宋体"/>
          <w:color w:val="000000"/>
          <w:sz w:val="24"/>
          <w:szCs w:val="24"/>
          <w:highlight w:val="none"/>
        </w:rPr>
      </w:pPr>
    </w:p>
    <w:p w14:paraId="462292C8">
      <w:pPr>
        <w:shd w:val="clear" w:color="auto" w:fill="auto"/>
        <w:spacing w:before="78" w:line="400" w:lineRule="exact"/>
        <w:rPr>
          <w:rFonts w:hint="eastAsia" w:ascii="宋体" w:hAnsi="宋体" w:eastAsia="宋体" w:cs="宋体"/>
          <w:color w:val="000000"/>
          <w:sz w:val="24"/>
          <w:szCs w:val="24"/>
          <w:highlight w:val="none"/>
        </w:rPr>
      </w:pPr>
    </w:p>
    <w:p w14:paraId="0572D298">
      <w:pPr>
        <w:shd w:val="clear" w:color="auto" w:fill="auto"/>
        <w:spacing w:before="78" w:line="400" w:lineRule="exact"/>
        <w:rPr>
          <w:rFonts w:hint="eastAsia" w:ascii="宋体" w:hAnsi="宋体" w:eastAsia="宋体" w:cs="宋体"/>
          <w:color w:val="000000"/>
          <w:sz w:val="24"/>
          <w:szCs w:val="24"/>
          <w:highlight w:val="none"/>
        </w:rPr>
      </w:pPr>
    </w:p>
    <w:p w14:paraId="7DF18272">
      <w:pPr>
        <w:shd w:val="clear" w:color="auto" w:fill="auto"/>
        <w:spacing w:before="78"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附件一</w:t>
      </w:r>
      <w:r>
        <w:rPr>
          <w:rFonts w:hint="eastAsia" w:ascii="宋体" w:hAnsi="宋体" w:eastAsia="宋体" w:cs="宋体"/>
          <w:color w:val="000000"/>
          <w:spacing w:val="-19"/>
          <w:sz w:val="24"/>
          <w:szCs w:val="24"/>
          <w:highlight w:val="none"/>
        </w:rPr>
        <w:t>：</w:t>
      </w:r>
      <w:r>
        <w:rPr>
          <w:rFonts w:hint="eastAsia" w:ascii="宋体" w:hAnsi="宋体" w:eastAsia="宋体" w:cs="宋体"/>
          <w:color w:val="000000"/>
          <w:sz w:val="24"/>
          <w:szCs w:val="24"/>
          <w:highlight w:val="none"/>
        </w:rPr>
        <w:t>廉政协议</w:t>
      </w:r>
    </w:p>
    <w:p w14:paraId="1CE2D3A2">
      <w:pPr>
        <w:pStyle w:val="3"/>
        <w:shd w:val="clear" w:color="auto" w:fill="auto"/>
        <w:tabs>
          <w:tab w:val="left" w:pos="720"/>
        </w:tabs>
        <w:spacing w:line="400" w:lineRule="exact"/>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廉 政 协 议</w:t>
      </w:r>
    </w:p>
    <w:p w14:paraId="5F989632">
      <w:pPr>
        <w:shd w:val="clear" w:color="auto" w:fill="auto"/>
        <w:spacing w:line="400" w:lineRule="exact"/>
        <w:ind w:firstLine="28"/>
        <w:rPr>
          <w:rFonts w:hint="eastAsia" w:ascii="宋体" w:hAnsi="宋体" w:eastAsia="宋体" w:cs="宋体"/>
          <w:color w:val="000000"/>
          <w:sz w:val="24"/>
          <w:szCs w:val="24"/>
          <w:highlight w:val="none"/>
        </w:rPr>
      </w:pPr>
      <w:r>
        <w:rPr>
          <w:rFonts w:hint="eastAsia" w:ascii="宋体" w:hAnsi="宋体" w:eastAsia="宋体" w:cs="宋体"/>
          <w:color w:val="000000"/>
          <w:position w:val="11"/>
          <w:sz w:val="24"/>
          <w:szCs w:val="24"/>
          <w:highlight w:val="none"/>
        </w:rPr>
        <w:t>甲方</w:t>
      </w:r>
      <w:r>
        <w:rPr>
          <w:rFonts w:hint="eastAsia" w:ascii="宋体" w:hAnsi="宋体" w:eastAsia="宋体" w:cs="宋体"/>
          <w:color w:val="000000"/>
          <w:spacing w:val="-24"/>
          <w:position w:val="11"/>
          <w:sz w:val="24"/>
          <w:szCs w:val="24"/>
          <w:highlight w:val="none"/>
        </w:rPr>
        <w:t>：</w:t>
      </w:r>
    </w:p>
    <w:p w14:paraId="66768CB7">
      <w:pPr>
        <w:shd w:val="clear" w:color="auto" w:fill="auto"/>
        <w:spacing w:line="400" w:lineRule="exact"/>
        <w:ind w:firstLine="1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w:t>
      </w:r>
      <w:r>
        <w:rPr>
          <w:rFonts w:hint="eastAsia" w:ascii="宋体" w:hAnsi="宋体" w:eastAsia="宋体" w:cs="宋体"/>
          <w:color w:val="000000"/>
          <w:spacing w:val="-11"/>
          <w:sz w:val="24"/>
          <w:szCs w:val="24"/>
          <w:highlight w:val="none"/>
        </w:rPr>
        <w:t>：</w:t>
      </w:r>
    </w:p>
    <w:p w14:paraId="43F3CD74">
      <w:pPr>
        <w:shd w:val="clear" w:color="auto" w:fill="auto"/>
        <w:spacing w:line="400" w:lineRule="exact"/>
        <w:ind w:right="77" w:firstLine="524"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1"/>
          <w:sz w:val="24"/>
          <w:szCs w:val="24"/>
          <w:highlight w:val="none"/>
        </w:rPr>
        <w:t>为加强廉政</w:t>
      </w:r>
      <w:r>
        <w:rPr>
          <w:rFonts w:hint="eastAsia" w:ascii="宋体" w:hAnsi="宋体" w:eastAsia="宋体" w:cs="宋体"/>
          <w:color w:val="000000"/>
          <w:spacing w:val="10"/>
          <w:sz w:val="24"/>
          <w:szCs w:val="24"/>
          <w:highlight w:val="none"/>
        </w:rPr>
        <w:t>建设</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规范双方的各项活动</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防止发生各种谋取不正当利益的违法违纪行为</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保护</w:t>
      </w:r>
      <w:r>
        <w:rPr>
          <w:rFonts w:hint="eastAsia" w:ascii="宋体" w:hAnsi="宋体" w:eastAsia="宋体" w:cs="宋体"/>
          <w:color w:val="000000"/>
          <w:spacing w:val="11"/>
          <w:sz w:val="24"/>
          <w:szCs w:val="24"/>
          <w:highlight w:val="none"/>
        </w:rPr>
        <w:t>国家</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1"/>
          <w:sz w:val="24"/>
          <w:szCs w:val="24"/>
          <w:highlight w:val="none"/>
        </w:rPr>
        <w:t>集体和当事人的合法</w:t>
      </w:r>
      <w:r>
        <w:rPr>
          <w:rFonts w:hint="eastAsia" w:ascii="宋体" w:hAnsi="宋体" w:eastAsia="宋体" w:cs="宋体"/>
          <w:color w:val="000000"/>
          <w:spacing w:val="10"/>
          <w:sz w:val="24"/>
          <w:szCs w:val="24"/>
          <w:highlight w:val="none"/>
        </w:rPr>
        <w:t>权益</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根据国家有关法律法规和廉政建设责任制度规定</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特签订本廉政</w:t>
      </w:r>
      <w:r>
        <w:rPr>
          <w:rFonts w:hint="eastAsia" w:ascii="宋体" w:hAnsi="宋体" w:eastAsia="宋体" w:cs="宋体"/>
          <w:color w:val="000000"/>
          <w:spacing w:val="2"/>
          <w:sz w:val="24"/>
          <w:szCs w:val="24"/>
          <w:highlight w:val="none"/>
        </w:rPr>
        <w:t>协</w:t>
      </w:r>
      <w:r>
        <w:rPr>
          <w:rFonts w:hint="eastAsia" w:ascii="宋体" w:hAnsi="宋体" w:eastAsia="宋体" w:cs="宋体"/>
          <w:color w:val="000000"/>
          <w:spacing w:val="1"/>
          <w:sz w:val="24"/>
          <w:szCs w:val="24"/>
          <w:highlight w:val="none"/>
        </w:rPr>
        <w:t>议</w:t>
      </w:r>
      <w:r>
        <w:rPr>
          <w:rFonts w:hint="eastAsia" w:ascii="宋体" w:hAnsi="宋体" w:eastAsia="宋体" w:cs="宋体"/>
          <w:color w:val="000000"/>
          <w:spacing w:val="3"/>
          <w:sz w:val="24"/>
          <w:szCs w:val="24"/>
          <w:highlight w:val="none"/>
        </w:rPr>
        <w:t>。</w:t>
      </w:r>
    </w:p>
    <w:p w14:paraId="0181B8EF">
      <w:pPr>
        <w:shd w:val="clear" w:color="auto" w:fill="auto"/>
        <w:spacing w:line="400" w:lineRule="exact"/>
        <w:ind w:firstLine="9"/>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第一</w:t>
      </w:r>
      <w:r>
        <w:rPr>
          <w:rFonts w:hint="eastAsia" w:ascii="宋体" w:hAnsi="宋体" w:eastAsia="宋体" w:cs="宋体"/>
          <w:color w:val="000000"/>
          <w:spacing w:val="7"/>
          <w:sz w:val="24"/>
          <w:szCs w:val="24"/>
          <w:highlight w:val="none"/>
        </w:rPr>
        <w:t>条甲</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7"/>
          <w:sz w:val="24"/>
          <w:szCs w:val="24"/>
          <w:highlight w:val="none"/>
        </w:rPr>
        <w:t>乙双方约定</w:t>
      </w:r>
    </w:p>
    <w:p w14:paraId="78317EA8">
      <w:pPr>
        <w:shd w:val="clear" w:color="auto" w:fill="auto"/>
        <w:spacing w:line="400" w:lineRule="exact"/>
        <w:ind w:right="115" w:firstLine="508"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（一</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7"/>
          <w:sz w:val="24"/>
          <w:szCs w:val="24"/>
          <w:highlight w:val="none"/>
        </w:rPr>
        <w:t>甲</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乙双方应共同严格遵守国家和省市以及招标人主管部门关于市场准入</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项目招标投标</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6"/>
          <w:sz w:val="24"/>
          <w:szCs w:val="24"/>
          <w:highlight w:val="none"/>
        </w:rPr>
        <w:t>市场经济活动等有关法律</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6"/>
          <w:sz w:val="24"/>
          <w:szCs w:val="24"/>
          <w:highlight w:val="none"/>
        </w:rPr>
        <w:t>法规和相关政策</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6"/>
          <w:sz w:val="24"/>
          <w:szCs w:val="24"/>
          <w:highlight w:val="none"/>
        </w:rPr>
        <w:t>以及项目廉政建设的各项规定</w:t>
      </w:r>
      <w:r>
        <w:rPr>
          <w:rFonts w:hint="eastAsia" w:ascii="宋体" w:hAnsi="宋体" w:eastAsia="宋体" w:cs="宋体"/>
          <w:color w:val="000000"/>
          <w:spacing w:val="8"/>
          <w:sz w:val="24"/>
          <w:szCs w:val="24"/>
          <w:highlight w:val="none"/>
        </w:rPr>
        <w:t>。</w:t>
      </w:r>
    </w:p>
    <w:p w14:paraId="24DEBC36">
      <w:pPr>
        <w:shd w:val="clear" w:color="auto" w:fill="auto"/>
        <w:spacing w:line="400" w:lineRule="exact"/>
        <w:ind w:firstLine="484"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
          <w:sz w:val="24"/>
          <w:szCs w:val="24"/>
          <w:highlight w:val="none"/>
        </w:rPr>
        <w:t>（二）甲、乙双方应认真执行双方签订的合同文</w:t>
      </w:r>
      <w:r>
        <w:rPr>
          <w:rFonts w:hint="eastAsia" w:ascii="宋体" w:hAnsi="宋体" w:eastAsia="宋体" w:cs="宋体"/>
          <w:color w:val="000000"/>
          <w:sz w:val="24"/>
          <w:szCs w:val="24"/>
          <w:highlight w:val="none"/>
        </w:rPr>
        <w:t>件</w:t>
      </w:r>
      <w:r>
        <w:rPr>
          <w:rFonts w:hint="eastAsia" w:ascii="宋体" w:hAnsi="宋体" w:eastAsia="宋体" w:cs="宋体"/>
          <w:color w:val="000000"/>
          <w:spacing w:val="1"/>
          <w:sz w:val="24"/>
          <w:szCs w:val="24"/>
          <w:highlight w:val="none"/>
        </w:rPr>
        <w:t>，</w:t>
      </w:r>
      <w:r>
        <w:rPr>
          <w:rFonts w:hint="eastAsia" w:ascii="宋体" w:hAnsi="宋体" w:eastAsia="宋体" w:cs="宋体"/>
          <w:color w:val="000000"/>
          <w:sz w:val="24"/>
          <w:szCs w:val="24"/>
          <w:highlight w:val="none"/>
        </w:rPr>
        <w:t xml:space="preserve">  自觉按合同约定履行责任</w:t>
      </w:r>
      <w:r>
        <w:rPr>
          <w:rFonts w:hint="eastAsia" w:ascii="宋体" w:hAnsi="宋体" w:eastAsia="宋体" w:cs="宋体"/>
          <w:color w:val="000000"/>
          <w:spacing w:val="1"/>
          <w:sz w:val="24"/>
          <w:szCs w:val="24"/>
          <w:highlight w:val="none"/>
        </w:rPr>
        <w:t>。</w:t>
      </w:r>
    </w:p>
    <w:p w14:paraId="0FA6C734">
      <w:pPr>
        <w:shd w:val="clear" w:color="auto" w:fill="auto"/>
        <w:spacing w:line="400" w:lineRule="exact"/>
        <w:ind w:left="4" w:right="77" w:firstLine="512"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（三</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甲</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乙双方的业务活动必须坚持公开</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公平</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公正</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诚信</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透明的原则（除法</w:t>
      </w:r>
      <w:r>
        <w:rPr>
          <w:rFonts w:hint="eastAsia" w:ascii="宋体" w:hAnsi="宋体" w:eastAsia="宋体" w:cs="宋体"/>
          <w:color w:val="000000"/>
          <w:spacing w:val="7"/>
          <w:sz w:val="24"/>
          <w:szCs w:val="24"/>
          <w:highlight w:val="none"/>
        </w:rPr>
        <w:t>律法规另有规定者外</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不得为获取不正当的利益</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损害国家</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集体和对方利益</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不得违反管理相关</w:t>
      </w:r>
      <w:r>
        <w:rPr>
          <w:rFonts w:hint="eastAsia" w:ascii="宋体" w:hAnsi="宋体" w:eastAsia="宋体" w:cs="宋体"/>
          <w:color w:val="000000"/>
          <w:spacing w:val="6"/>
          <w:sz w:val="24"/>
          <w:szCs w:val="24"/>
          <w:highlight w:val="none"/>
        </w:rPr>
        <w:t>规章制度</w:t>
      </w:r>
      <w:r>
        <w:rPr>
          <w:rFonts w:hint="eastAsia" w:ascii="宋体" w:hAnsi="宋体" w:eastAsia="宋体" w:cs="宋体"/>
          <w:color w:val="000000"/>
          <w:spacing w:val="8"/>
          <w:sz w:val="24"/>
          <w:szCs w:val="24"/>
          <w:highlight w:val="none"/>
        </w:rPr>
        <w:t>。</w:t>
      </w:r>
    </w:p>
    <w:p w14:paraId="302D79F8">
      <w:pPr>
        <w:shd w:val="clear" w:color="auto" w:fill="auto"/>
        <w:spacing w:line="400" w:lineRule="exact"/>
        <w:ind w:firstLine="508"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（四</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甲</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乙双方有</w:t>
      </w:r>
      <w:r>
        <w:rPr>
          <w:rFonts w:hint="eastAsia" w:ascii="宋体" w:hAnsi="宋体" w:eastAsia="宋体" w:cs="宋体"/>
          <w:color w:val="000000"/>
          <w:spacing w:val="6"/>
          <w:sz w:val="24"/>
          <w:szCs w:val="24"/>
          <w:highlight w:val="none"/>
        </w:rPr>
        <w:t>对本方人员开展廉政告知</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6"/>
          <w:sz w:val="24"/>
          <w:szCs w:val="24"/>
          <w:highlight w:val="none"/>
        </w:rPr>
        <w:t>廉政教育和职业道德教育的义务</w:t>
      </w:r>
      <w:r>
        <w:rPr>
          <w:rFonts w:hint="eastAsia" w:ascii="宋体" w:hAnsi="宋体" w:eastAsia="宋体" w:cs="宋体"/>
          <w:color w:val="000000"/>
          <w:spacing w:val="8"/>
          <w:sz w:val="24"/>
          <w:szCs w:val="24"/>
          <w:highlight w:val="none"/>
        </w:rPr>
        <w:t>。</w:t>
      </w:r>
    </w:p>
    <w:p w14:paraId="1D116736">
      <w:pPr>
        <w:shd w:val="clear" w:color="auto" w:fill="auto"/>
        <w:spacing w:line="400" w:lineRule="exact"/>
        <w:ind w:left="3" w:right="77" w:firstLine="512"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（五</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甲</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乙双方应加强对本方人员廉政监督</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建立健全廉政制度</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认真严肃查处本方人</w:t>
      </w:r>
      <w:r>
        <w:rPr>
          <w:rFonts w:hint="eastAsia" w:ascii="宋体" w:hAnsi="宋体" w:eastAsia="宋体" w:cs="宋体"/>
          <w:color w:val="000000"/>
          <w:spacing w:val="7"/>
          <w:sz w:val="24"/>
          <w:szCs w:val="24"/>
          <w:highlight w:val="none"/>
        </w:rPr>
        <w:t>员违法违</w:t>
      </w:r>
      <w:r>
        <w:rPr>
          <w:rFonts w:hint="eastAsia" w:ascii="宋体" w:hAnsi="宋体" w:eastAsia="宋体" w:cs="宋体"/>
          <w:color w:val="000000"/>
          <w:spacing w:val="3"/>
          <w:sz w:val="24"/>
          <w:szCs w:val="24"/>
          <w:highlight w:val="none"/>
        </w:rPr>
        <w:t>纪行为</w:t>
      </w:r>
      <w:r>
        <w:rPr>
          <w:rFonts w:hint="eastAsia" w:ascii="宋体" w:hAnsi="宋体" w:eastAsia="宋体" w:cs="宋体"/>
          <w:color w:val="000000"/>
          <w:spacing w:val="4"/>
          <w:sz w:val="24"/>
          <w:szCs w:val="24"/>
          <w:highlight w:val="none"/>
        </w:rPr>
        <w:t>。</w:t>
      </w:r>
    </w:p>
    <w:p w14:paraId="3566A01C">
      <w:pPr>
        <w:shd w:val="clear" w:color="auto" w:fill="auto"/>
        <w:spacing w:line="400" w:lineRule="exact"/>
        <w:ind w:right="77" w:firstLine="512"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（六</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甲</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乙双方如发现对方人员在业务活动中有违规</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违纪</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违法行为的</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应及时提</w:t>
      </w:r>
      <w:r>
        <w:rPr>
          <w:rFonts w:hint="eastAsia" w:ascii="宋体" w:hAnsi="宋体" w:eastAsia="宋体" w:cs="宋体"/>
          <w:color w:val="000000"/>
          <w:spacing w:val="7"/>
          <w:sz w:val="24"/>
          <w:szCs w:val="24"/>
          <w:highlight w:val="none"/>
        </w:rPr>
        <w:t>醒对方并督</w:t>
      </w:r>
      <w:r>
        <w:rPr>
          <w:rFonts w:hint="eastAsia" w:ascii="宋体" w:hAnsi="宋体" w:eastAsia="宋体" w:cs="宋体"/>
          <w:color w:val="000000"/>
          <w:spacing w:val="10"/>
          <w:sz w:val="24"/>
          <w:szCs w:val="24"/>
          <w:highlight w:val="none"/>
        </w:rPr>
        <w:t>促其纠正</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或直接向对方法人代表</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纪检监察部门及检察机关如实反映情况</w:t>
      </w:r>
      <w:r>
        <w:rPr>
          <w:rFonts w:hint="eastAsia" w:ascii="宋体" w:hAnsi="宋体" w:eastAsia="宋体" w:cs="宋体"/>
          <w:color w:val="000000"/>
          <w:spacing w:val="11"/>
          <w:sz w:val="24"/>
          <w:szCs w:val="24"/>
          <w:highlight w:val="none"/>
        </w:rPr>
        <w:t>。</w:t>
      </w:r>
    </w:p>
    <w:p w14:paraId="517469AE">
      <w:pPr>
        <w:shd w:val="clear" w:color="auto" w:fill="auto"/>
        <w:spacing w:line="400" w:lineRule="exact"/>
        <w:ind w:firstLine="9"/>
        <w:rPr>
          <w:rFonts w:hint="eastAsia" w:ascii="宋体" w:hAnsi="宋体" w:eastAsia="宋体" w:cs="宋体"/>
          <w:color w:val="000000"/>
          <w:sz w:val="24"/>
          <w:szCs w:val="24"/>
          <w:highlight w:val="none"/>
        </w:rPr>
      </w:pPr>
      <w:r>
        <w:rPr>
          <w:rFonts w:hint="eastAsia" w:ascii="宋体" w:hAnsi="宋体" w:eastAsia="宋体" w:cs="宋体"/>
          <w:color w:val="000000"/>
          <w:spacing w:val="9"/>
          <w:sz w:val="24"/>
          <w:szCs w:val="24"/>
          <w:highlight w:val="none"/>
        </w:rPr>
        <w:t>第二条甲</w:t>
      </w:r>
      <w:r>
        <w:rPr>
          <w:rFonts w:hint="eastAsia" w:ascii="宋体" w:hAnsi="宋体" w:eastAsia="宋体" w:cs="宋体"/>
          <w:color w:val="000000"/>
          <w:spacing w:val="8"/>
          <w:sz w:val="24"/>
          <w:szCs w:val="24"/>
          <w:highlight w:val="none"/>
        </w:rPr>
        <w:t>方（含甲方人员</w:t>
      </w: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8"/>
          <w:sz w:val="24"/>
          <w:szCs w:val="24"/>
          <w:highlight w:val="none"/>
        </w:rPr>
        <w:t>廉政责任</w:t>
      </w:r>
    </w:p>
    <w:p w14:paraId="6A776CCE">
      <w:pPr>
        <w:shd w:val="clear" w:color="auto" w:fill="auto"/>
        <w:spacing w:line="400" w:lineRule="exact"/>
        <w:ind w:firstLine="520"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0"/>
          <w:position w:val="1"/>
          <w:sz w:val="24"/>
          <w:szCs w:val="24"/>
          <w:highlight w:val="none"/>
        </w:rPr>
        <w:t>（一</w:t>
      </w:r>
      <w:r>
        <w:rPr>
          <w:rFonts w:hint="eastAsia" w:ascii="宋体" w:hAnsi="宋体" w:eastAsia="宋体" w:cs="宋体"/>
          <w:color w:val="000000"/>
          <w:spacing w:val="11"/>
          <w:position w:val="1"/>
          <w:sz w:val="24"/>
          <w:szCs w:val="24"/>
          <w:highlight w:val="none"/>
        </w:rPr>
        <w:t>）</w:t>
      </w:r>
      <w:r>
        <w:rPr>
          <w:rFonts w:hint="eastAsia" w:ascii="宋体" w:hAnsi="宋体" w:eastAsia="宋体" w:cs="宋体"/>
          <w:color w:val="000000"/>
          <w:spacing w:val="10"/>
          <w:position w:val="1"/>
          <w:sz w:val="24"/>
          <w:szCs w:val="24"/>
          <w:highlight w:val="none"/>
        </w:rPr>
        <w:t>不得接受乙方</w:t>
      </w:r>
      <w:r>
        <w:rPr>
          <w:rFonts w:hint="eastAsia" w:ascii="宋体" w:hAnsi="宋体" w:eastAsia="宋体" w:cs="宋体"/>
          <w:color w:val="000000"/>
          <w:spacing w:val="9"/>
          <w:position w:val="1"/>
          <w:sz w:val="24"/>
          <w:szCs w:val="24"/>
          <w:highlight w:val="none"/>
        </w:rPr>
        <w:t>或向乙方索取或以借用为名占用乙方的任何财物</w:t>
      </w:r>
      <w:r>
        <w:rPr>
          <w:rFonts w:hint="eastAsia" w:ascii="宋体" w:hAnsi="宋体" w:eastAsia="宋体" w:cs="宋体"/>
          <w:color w:val="000000"/>
          <w:spacing w:val="11"/>
          <w:position w:val="1"/>
          <w:sz w:val="24"/>
          <w:szCs w:val="24"/>
          <w:highlight w:val="none"/>
        </w:rPr>
        <w:t>；</w:t>
      </w:r>
      <w:r>
        <w:rPr>
          <w:rFonts w:hint="eastAsia" w:ascii="宋体" w:hAnsi="宋体" w:eastAsia="宋体" w:cs="宋体"/>
          <w:color w:val="000000"/>
          <w:spacing w:val="9"/>
          <w:position w:val="1"/>
          <w:sz w:val="24"/>
          <w:szCs w:val="24"/>
          <w:highlight w:val="none"/>
        </w:rPr>
        <w:t>不得接受乙方的礼金</w:t>
      </w:r>
      <w:r>
        <w:rPr>
          <w:rFonts w:hint="eastAsia" w:ascii="宋体" w:hAnsi="宋体" w:eastAsia="宋体" w:cs="宋体"/>
          <w:color w:val="000000"/>
          <w:spacing w:val="11"/>
          <w:position w:val="1"/>
          <w:sz w:val="24"/>
          <w:szCs w:val="24"/>
          <w:highlight w:val="none"/>
        </w:rPr>
        <w:t>、</w:t>
      </w:r>
    </w:p>
    <w:p w14:paraId="63360CBC">
      <w:pPr>
        <w:shd w:val="clear" w:color="auto" w:fill="auto"/>
        <w:spacing w:line="400" w:lineRule="exact"/>
        <w:ind w:left="4" w:hanging="3"/>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礼品和各种有价证券</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7"/>
          <w:sz w:val="24"/>
          <w:szCs w:val="24"/>
          <w:highlight w:val="none"/>
        </w:rPr>
        <w:t>支付凭证及其他贵重物品</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7"/>
          <w:sz w:val="24"/>
          <w:szCs w:val="24"/>
          <w:highlight w:val="none"/>
        </w:rPr>
        <w:t>不得接受乙方的以任何名义支付的回扣</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7"/>
          <w:sz w:val="24"/>
          <w:szCs w:val="24"/>
          <w:highlight w:val="none"/>
        </w:rPr>
        <w:t>好处费</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感谢费或其</w:t>
      </w:r>
      <w:r>
        <w:rPr>
          <w:rFonts w:hint="eastAsia" w:ascii="宋体" w:hAnsi="宋体" w:eastAsia="宋体" w:cs="宋体"/>
          <w:color w:val="000000"/>
          <w:spacing w:val="7"/>
          <w:sz w:val="24"/>
          <w:szCs w:val="24"/>
          <w:highlight w:val="none"/>
        </w:rPr>
        <w:t>他经济利益</w:t>
      </w:r>
      <w:r>
        <w:rPr>
          <w:rFonts w:hint="eastAsia" w:ascii="宋体" w:hAnsi="宋体" w:eastAsia="宋体" w:cs="宋体"/>
          <w:color w:val="000000"/>
          <w:spacing w:val="8"/>
          <w:sz w:val="24"/>
          <w:szCs w:val="24"/>
          <w:highlight w:val="none"/>
        </w:rPr>
        <w:t>。</w:t>
      </w:r>
    </w:p>
    <w:p w14:paraId="2CBA5838">
      <w:pPr>
        <w:shd w:val="clear" w:color="auto" w:fill="auto"/>
        <w:spacing w:line="400" w:lineRule="exact"/>
        <w:ind w:right="77" w:firstLine="524"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1"/>
          <w:sz w:val="24"/>
          <w:szCs w:val="24"/>
          <w:highlight w:val="none"/>
        </w:rPr>
        <w:t>（二</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1"/>
          <w:sz w:val="24"/>
          <w:szCs w:val="24"/>
          <w:highlight w:val="none"/>
        </w:rPr>
        <w:t>不得</w:t>
      </w:r>
      <w:r>
        <w:rPr>
          <w:rFonts w:hint="eastAsia" w:ascii="宋体" w:hAnsi="宋体" w:eastAsia="宋体" w:cs="宋体"/>
          <w:color w:val="000000"/>
          <w:spacing w:val="10"/>
          <w:sz w:val="24"/>
          <w:szCs w:val="24"/>
          <w:highlight w:val="none"/>
        </w:rPr>
        <w:t>向乙方报销应由甲方（含甲方人员</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承担的费用</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不得接受乙方提供的宴请</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旅游</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健</w:t>
      </w:r>
      <w:r>
        <w:rPr>
          <w:rFonts w:hint="eastAsia" w:ascii="宋体" w:hAnsi="宋体" w:eastAsia="宋体" w:cs="宋体"/>
          <w:color w:val="000000"/>
          <w:spacing w:val="11"/>
          <w:sz w:val="24"/>
          <w:szCs w:val="24"/>
          <w:highlight w:val="none"/>
        </w:rPr>
        <w:t>身</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1"/>
          <w:sz w:val="24"/>
          <w:szCs w:val="24"/>
          <w:highlight w:val="none"/>
        </w:rPr>
        <w:t>娱乐等活动安排</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1"/>
          <w:sz w:val="24"/>
          <w:szCs w:val="24"/>
          <w:highlight w:val="none"/>
        </w:rPr>
        <w:t>在婚</w:t>
      </w:r>
      <w:r>
        <w:rPr>
          <w:rFonts w:hint="eastAsia" w:ascii="宋体" w:hAnsi="宋体" w:eastAsia="宋体" w:cs="宋体"/>
          <w:color w:val="000000"/>
          <w:spacing w:val="10"/>
          <w:sz w:val="24"/>
          <w:szCs w:val="24"/>
          <w:highlight w:val="none"/>
        </w:rPr>
        <w:t>丧嫁娶等活动中不邀请乙方人员参加</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不得接受乙方提供装修住房</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配</w:t>
      </w:r>
      <w:r>
        <w:rPr>
          <w:rFonts w:hint="eastAsia" w:ascii="宋体" w:hAnsi="宋体" w:eastAsia="宋体" w:cs="宋体"/>
          <w:color w:val="000000"/>
          <w:spacing w:val="9"/>
          <w:sz w:val="24"/>
          <w:szCs w:val="24"/>
          <w:highlight w:val="none"/>
        </w:rPr>
        <w:t>偶子女的工作</w:t>
      </w:r>
      <w:r>
        <w:rPr>
          <w:rFonts w:hint="eastAsia" w:ascii="宋体" w:hAnsi="宋体" w:eastAsia="宋体" w:cs="宋体"/>
          <w:color w:val="000000"/>
          <w:spacing w:val="8"/>
          <w:sz w:val="24"/>
          <w:szCs w:val="24"/>
          <w:highlight w:val="none"/>
        </w:rPr>
        <w:t>安排等方面的便利</w:t>
      </w:r>
      <w:r>
        <w:rPr>
          <w:rFonts w:hint="eastAsia" w:ascii="宋体" w:hAnsi="宋体" w:eastAsia="宋体" w:cs="宋体"/>
          <w:color w:val="000000"/>
          <w:spacing w:val="9"/>
          <w:sz w:val="24"/>
          <w:szCs w:val="24"/>
          <w:highlight w:val="none"/>
        </w:rPr>
        <w:t>。</w:t>
      </w:r>
    </w:p>
    <w:p w14:paraId="1B10906C">
      <w:pPr>
        <w:shd w:val="clear" w:color="auto" w:fill="auto"/>
        <w:spacing w:line="400" w:lineRule="exact"/>
        <w:ind w:left="1" w:right="77" w:firstLine="512"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（三</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不得利用职务便利向乙方介绍或指定工程分包单位（或个人</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物资供应商</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不得</w:t>
      </w:r>
      <w:r>
        <w:rPr>
          <w:rFonts w:hint="eastAsia" w:ascii="宋体" w:hAnsi="宋体" w:eastAsia="宋体" w:cs="宋体"/>
          <w:color w:val="000000"/>
          <w:spacing w:val="7"/>
          <w:sz w:val="24"/>
          <w:szCs w:val="24"/>
          <w:highlight w:val="none"/>
        </w:rPr>
        <w:t>利用职务</w:t>
      </w:r>
      <w:r>
        <w:rPr>
          <w:rFonts w:hint="eastAsia" w:ascii="宋体" w:hAnsi="宋体" w:eastAsia="宋体" w:cs="宋体"/>
          <w:color w:val="000000"/>
          <w:spacing w:val="9"/>
          <w:sz w:val="24"/>
          <w:szCs w:val="24"/>
          <w:highlight w:val="none"/>
        </w:rPr>
        <w:t>便利向乙方推销或指定</w:t>
      </w:r>
      <w:r>
        <w:rPr>
          <w:rFonts w:hint="eastAsia" w:ascii="宋体" w:hAnsi="宋体" w:eastAsia="宋体" w:cs="宋体"/>
          <w:color w:val="000000"/>
          <w:spacing w:val="8"/>
          <w:sz w:val="24"/>
          <w:szCs w:val="24"/>
          <w:highlight w:val="none"/>
        </w:rPr>
        <w:t>使用物资设备等</w:t>
      </w:r>
      <w:r>
        <w:rPr>
          <w:rFonts w:hint="eastAsia" w:ascii="宋体" w:hAnsi="宋体" w:eastAsia="宋体" w:cs="宋体"/>
          <w:color w:val="000000"/>
          <w:spacing w:val="9"/>
          <w:sz w:val="24"/>
          <w:szCs w:val="24"/>
          <w:highlight w:val="none"/>
        </w:rPr>
        <w:t>。</w:t>
      </w:r>
    </w:p>
    <w:p w14:paraId="17FE8970">
      <w:pPr>
        <w:shd w:val="clear" w:color="auto" w:fill="auto"/>
        <w:spacing w:line="400" w:lineRule="exact"/>
        <w:ind w:firstLine="516"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9"/>
          <w:position w:val="1"/>
          <w:sz w:val="24"/>
          <w:szCs w:val="24"/>
          <w:highlight w:val="none"/>
        </w:rPr>
        <w:t>（四</w:t>
      </w:r>
      <w:r>
        <w:rPr>
          <w:rFonts w:hint="eastAsia" w:ascii="宋体" w:hAnsi="宋体" w:eastAsia="宋体" w:cs="宋体"/>
          <w:color w:val="000000"/>
          <w:spacing w:val="10"/>
          <w:position w:val="1"/>
          <w:sz w:val="24"/>
          <w:szCs w:val="24"/>
          <w:highlight w:val="none"/>
        </w:rPr>
        <w:t>）</w:t>
      </w:r>
      <w:r>
        <w:rPr>
          <w:rFonts w:hint="eastAsia" w:ascii="宋体" w:hAnsi="宋体" w:eastAsia="宋体" w:cs="宋体"/>
          <w:color w:val="000000"/>
          <w:spacing w:val="9"/>
          <w:position w:val="1"/>
          <w:sz w:val="24"/>
          <w:szCs w:val="24"/>
          <w:highlight w:val="none"/>
        </w:rPr>
        <w:t>不得接受乙方购置的或长期提供的通信工具</w:t>
      </w:r>
      <w:r>
        <w:rPr>
          <w:rFonts w:hint="eastAsia" w:ascii="宋体" w:hAnsi="宋体" w:eastAsia="宋体" w:cs="宋体"/>
          <w:color w:val="000000"/>
          <w:spacing w:val="10"/>
          <w:position w:val="1"/>
          <w:sz w:val="24"/>
          <w:szCs w:val="24"/>
          <w:highlight w:val="none"/>
        </w:rPr>
        <w:t>、</w:t>
      </w:r>
      <w:r>
        <w:rPr>
          <w:rFonts w:hint="eastAsia" w:ascii="宋体" w:hAnsi="宋体" w:eastAsia="宋体" w:cs="宋体"/>
          <w:color w:val="000000"/>
          <w:spacing w:val="9"/>
          <w:position w:val="1"/>
          <w:sz w:val="24"/>
          <w:szCs w:val="24"/>
          <w:highlight w:val="none"/>
        </w:rPr>
        <w:t>交通工具</w:t>
      </w:r>
      <w:r>
        <w:rPr>
          <w:rFonts w:hint="eastAsia" w:ascii="宋体" w:hAnsi="宋体" w:eastAsia="宋体" w:cs="宋体"/>
          <w:color w:val="000000"/>
          <w:spacing w:val="8"/>
          <w:position w:val="1"/>
          <w:sz w:val="24"/>
          <w:szCs w:val="24"/>
          <w:highlight w:val="none"/>
        </w:rPr>
        <w:t>等</w:t>
      </w:r>
      <w:r>
        <w:rPr>
          <w:rFonts w:hint="eastAsia" w:ascii="宋体" w:hAnsi="宋体" w:eastAsia="宋体" w:cs="宋体"/>
          <w:color w:val="000000"/>
          <w:spacing w:val="10"/>
          <w:position w:val="1"/>
          <w:sz w:val="24"/>
          <w:szCs w:val="24"/>
          <w:highlight w:val="none"/>
        </w:rPr>
        <w:t>。</w:t>
      </w:r>
    </w:p>
    <w:p w14:paraId="51619F93">
      <w:pPr>
        <w:shd w:val="clear" w:color="auto" w:fill="auto"/>
        <w:spacing w:line="400" w:lineRule="exact"/>
        <w:ind w:left="1" w:right="77" w:firstLine="524"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1"/>
          <w:sz w:val="24"/>
          <w:szCs w:val="24"/>
          <w:highlight w:val="none"/>
        </w:rPr>
        <w:t>（五）对无法拒绝的乙方及其</w:t>
      </w:r>
      <w:r>
        <w:rPr>
          <w:rFonts w:hint="eastAsia" w:ascii="宋体" w:hAnsi="宋体" w:eastAsia="宋体" w:cs="宋体"/>
          <w:color w:val="000000"/>
          <w:spacing w:val="10"/>
          <w:sz w:val="24"/>
          <w:szCs w:val="24"/>
          <w:highlight w:val="none"/>
        </w:rPr>
        <w:t>个人所送的钱物</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0"/>
          <w:sz w:val="24"/>
          <w:szCs w:val="24"/>
          <w:highlight w:val="none"/>
        </w:rPr>
        <w:t>受礼者自收受之日起一个月内上交至甲方监察审计</w:t>
      </w:r>
      <w:r>
        <w:rPr>
          <w:rFonts w:hint="eastAsia" w:ascii="宋体" w:hAnsi="宋体" w:eastAsia="宋体" w:cs="宋体"/>
          <w:color w:val="000000"/>
          <w:spacing w:val="2"/>
          <w:sz w:val="24"/>
          <w:szCs w:val="24"/>
          <w:highlight w:val="none"/>
        </w:rPr>
        <w:t>部</w:t>
      </w:r>
      <w:r>
        <w:rPr>
          <w:rFonts w:hint="eastAsia" w:ascii="宋体" w:hAnsi="宋体" w:eastAsia="宋体" w:cs="宋体"/>
          <w:color w:val="000000"/>
          <w:spacing w:val="1"/>
          <w:sz w:val="24"/>
          <w:szCs w:val="24"/>
          <w:highlight w:val="none"/>
        </w:rPr>
        <w:t>门</w:t>
      </w:r>
      <w:r>
        <w:rPr>
          <w:rFonts w:hint="eastAsia" w:ascii="宋体" w:hAnsi="宋体" w:eastAsia="宋体" w:cs="宋体"/>
          <w:color w:val="000000"/>
          <w:spacing w:val="3"/>
          <w:sz w:val="24"/>
          <w:szCs w:val="24"/>
          <w:highlight w:val="none"/>
        </w:rPr>
        <w:t>。</w:t>
      </w:r>
    </w:p>
    <w:p w14:paraId="46D846E3">
      <w:pPr>
        <w:shd w:val="clear" w:color="auto" w:fill="auto"/>
        <w:spacing w:line="400" w:lineRule="exact"/>
        <w:ind w:right="77" w:firstLine="524" w:firstLineChars="200"/>
        <w:rPr>
          <w:rFonts w:hint="eastAsia" w:ascii="宋体" w:hAnsi="宋体" w:eastAsia="宋体" w:cs="宋体"/>
          <w:color w:val="000000"/>
          <w:spacing w:val="11"/>
          <w:sz w:val="24"/>
          <w:szCs w:val="24"/>
          <w:highlight w:val="none"/>
        </w:rPr>
      </w:pPr>
      <w:r>
        <w:rPr>
          <w:rFonts w:hint="eastAsia" w:ascii="宋体" w:hAnsi="宋体" w:eastAsia="宋体" w:cs="宋体"/>
          <w:color w:val="000000"/>
          <w:spacing w:val="11"/>
          <w:sz w:val="24"/>
          <w:szCs w:val="24"/>
          <w:highlight w:val="none"/>
        </w:rPr>
        <w:t>（六）对乙方提供的有关信息，应及时调查处理并反馈结果。</w:t>
      </w:r>
    </w:p>
    <w:p w14:paraId="7DB19513">
      <w:pPr>
        <w:shd w:val="clear" w:color="auto" w:fill="auto"/>
        <w:spacing w:line="400" w:lineRule="exact"/>
        <w:ind w:left="9" w:right="3503" w:hanging="4"/>
        <w:rPr>
          <w:rFonts w:hint="eastAsia" w:ascii="宋体" w:hAnsi="宋体" w:eastAsia="宋体" w:cs="宋体"/>
          <w:color w:val="000000"/>
          <w:sz w:val="24"/>
          <w:szCs w:val="24"/>
          <w:highlight w:val="none"/>
        </w:rPr>
      </w:pPr>
      <w:r>
        <w:rPr>
          <w:rFonts w:hint="eastAsia" w:ascii="宋体" w:hAnsi="宋体" w:eastAsia="宋体" w:cs="宋体"/>
          <w:color w:val="000000"/>
          <w:spacing w:val="9"/>
          <w:sz w:val="24"/>
          <w:szCs w:val="24"/>
          <w:highlight w:val="none"/>
        </w:rPr>
        <w:t>第三条乙</w:t>
      </w:r>
      <w:r>
        <w:rPr>
          <w:rFonts w:hint="eastAsia" w:ascii="宋体" w:hAnsi="宋体" w:eastAsia="宋体" w:cs="宋体"/>
          <w:color w:val="000000"/>
          <w:spacing w:val="8"/>
          <w:sz w:val="24"/>
          <w:szCs w:val="24"/>
          <w:highlight w:val="none"/>
        </w:rPr>
        <w:t>方（含乙方人员</w:t>
      </w: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8"/>
          <w:sz w:val="24"/>
          <w:szCs w:val="24"/>
          <w:highlight w:val="none"/>
        </w:rPr>
        <w:t>廉政责任</w:t>
      </w:r>
    </w:p>
    <w:p w14:paraId="53EF9E0A">
      <w:pPr>
        <w:shd w:val="clear" w:color="auto" w:fill="auto"/>
        <w:spacing w:line="400" w:lineRule="exact"/>
        <w:ind w:right="77" w:firstLine="524"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1"/>
          <w:sz w:val="24"/>
          <w:szCs w:val="24"/>
          <w:highlight w:val="none"/>
        </w:rPr>
        <w:t>（一</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1"/>
          <w:sz w:val="24"/>
          <w:szCs w:val="24"/>
          <w:highlight w:val="none"/>
        </w:rPr>
        <w:t>不得以任</w:t>
      </w:r>
      <w:r>
        <w:rPr>
          <w:rFonts w:hint="eastAsia" w:ascii="宋体" w:hAnsi="宋体" w:eastAsia="宋体" w:cs="宋体"/>
          <w:color w:val="000000"/>
          <w:spacing w:val="10"/>
          <w:sz w:val="24"/>
          <w:szCs w:val="24"/>
          <w:highlight w:val="none"/>
        </w:rPr>
        <w:t>何形式向甲方行贿</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不得向甲方送礼金</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礼品和各种有价证券</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支付凭证及其他贵重</w:t>
      </w:r>
      <w:r>
        <w:rPr>
          <w:rFonts w:hint="eastAsia" w:ascii="宋体" w:hAnsi="宋体" w:eastAsia="宋体" w:cs="宋体"/>
          <w:color w:val="000000"/>
          <w:spacing w:val="9"/>
          <w:sz w:val="24"/>
          <w:szCs w:val="24"/>
          <w:highlight w:val="none"/>
        </w:rPr>
        <w:t>物品</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不得以任何名义向甲方及其工作人员支付回扣</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好处费</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感谢费或其他经济利益</w:t>
      </w:r>
      <w:r>
        <w:rPr>
          <w:rFonts w:hint="eastAsia" w:ascii="宋体" w:hAnsi="宋体" w:eastAsia="宋体" w:cs="宋体"/>
          <w:color w:val="000000"/>
          <w:spacing w:val="11"/>
          <w:sz w:val="24"/>
          <w:szCs w:val="24"/>
          <w:highlight w:val="none"/>
        </w:rPr>
        <w:t>。</w:t>
      </w:r>
    </w:p>
    <w:p w14:paraId="2F21C82C">
      <w:pPr>
        <w:shd w:val="clear" w:color="auto" w:fill="auto"/>
        <w:spacing w:line="400" w:lineRule="exact"/>
        <w:ind w:left="3" w:right="24" w:firstLine="524"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1"/>
          <w:sz w:val="24"/>
          <w:szCs w:val="24"/>
          <w:highlight w:val="none"/>
        </w:rPr>
        <w:t>（二</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不得为甲方报销应由甲方（含甲方人员</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承担的费用</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不向甲方提供宴请</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旅游</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健身</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娱乐等活动</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不参加甲方人员的婚丧嫁娶等活动</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不向甲方家庭成员及亲属赠送任何礼金</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0"/>
          <w:sz w:val="24"/>
          <w:szCs w:val="24"/>
          <w:highlight w:val="none"/>
        </w:rPr>
        <w:t>礼品等</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0"/>
          <w:sz w:val="24"/>
          <w:szCs w:val="24"/>
          <w:highlight w:val="none"/>
        </w:rPr>
        <w:t>不得向甲方及其工作</w:t>
      </w:r>
      <w:r>
        <w:rPr>
          <w:rFonts w:hint="eastAsia" w:ascii="宋体" w:hAnsi="宋体" w:eastAsia="宋体" w:cs="宋体"/>
          <w:color w:val="000000"/>
          <w:spacing w:val="9"/>
          <w:sz w:val="24"/>
          <w:szCs w:val="24"/>
          <w:highlight w:val="none"/>
        </w:rPr>
        <w:t>人员提供个人装修住房</w:t>
      </w: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9"/>
          <w:sz w:val="24"/>
          <w:szCs w:val="24"/>
          <w:highlight w:val="none"/>
        </w:rPr>
        <w:t>配偶子女的工作安排等方面的便利</w:t>
      </w:r>
      <w:r>
        <w:rPr>
          <w:rFonts w:hint="eastAsia" w:ascii="宋体" w:hAnsi="宋体" w:eastAsia="宋体" w:cs="宋体"/>
          <w:color w:val="000000"/>
          <w:spacing w:val="10"/>
          <w:sz w:val="24"/>
          <w:szCs w:val="24"/>
          <w:highlight w:val="none"/>
        </w:rPr>
        <w:t>。</w:t>
      </w:r>
    </w:p>
    <w:p w14:paraId="15E82A75">
      <w:pPr>
        <w:shd w:val="clear" w:color="auto" w:fill="auto"/>
        <w:spacing w:line="400" w:lineRule="exact"/>
        <w:ind w:left="250" w:leftChars="78" w:right="24" w:firstLine="518" w:firstLineChars="198"/>
        <w:rPr>
          <w:rFonts w:hint="eastAsia" w:ascii="宋体" w:hAnsi="宋体" w:eastAsia="宋体" w:cs="宋体"/>
          <w:color w:val="000000"/>
          <w:sz w:val="24"/>
          <w:szCs w:val="24"/>
          <w:highlight w:val="none"/>
        </w:rPr>
      </w:pPr>
      <w:r>
        <w:rPr>
          <w:rFonts w:hint="eastAsia" w:ascii="宋体" w:hAnsi="宋体" w:eastAsia="宋体" w:cs="宋体"/>
          <w:color w:val="000000"/>
          <w:spacing w:val="11"/>
          <w:sz w:val="24"/>
          <w:szCs w:val="24"/>
          <w:highlight w:val="none"/>
        </w:rPr>
        <w:t>（三）不得接受甲方介绍或指</w:t>
      </w:r>
      <w:r>
        <w:rPr>
          <w:rFonts w:hint="eastAsia" w:ascii="宋体" w:hAnsi="宋体" w:eastAsia="宋体" w:cs="宋体"/>
          <w:color w:val="000000"/>
          <w:spacing w:val="10"/>
          <w:sz w:val="24"/>
          <w:szCs w:val="24"/>
          <w:highlight w:val="none"/>
        </w:rPr>
        <w:t>定的工程分包单位和物资供应商</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0"/>
          <w:sz w:val="24"/>
          <w:szCs w:val="24"/>
          <w:highlight w:val="none"/>
        </w:rPr>
        <w:t>不得接受甲方推销或指定使用的物</w:t>
      </w:r>
      <w:r>
        <w:rPr>
          <w:rFonts w:hint="eastAsia" w:ascii="宋体" w:hAnsi="宋体" w:eastAsia="宋体" w:cs="宋体"/>
          <w:color w:val="000000"/>
          <w:spacing w:val="1"/>
          <w:sz w:val="24"/>
          <w:szCs w:val="24"/>
          <w:highlight w:val="none"/>
        </w:rPr>
        <w:t>资设备</w:t>
      </w:r>
      <w:r>
        <w:rPr>
          <w:rFonts w:hint="eastAsia" w:ascii="宋体" w:hAnsi="宋体" w:eastAsia="宋体" w:cs="宋体"/>
          <w:color w:val="000000"/>
          <w:spacing w:val="2"/>
          <w:sz w:val="24"/>
          <w:szCs w:val="24"/>
          <w:highlight w:val="none"/>
        </w:rPr>
        <w:t>。</w:t>
      </w:r>
    </w:p>
    <w:p w14:paraId="6C8882E5">
      <w:pPr>
        <w:shd w:val="clear" w:color="auto" w:fill="auto"/>
        <w:spacing w:line="400" w:lineRule="exact"/>
        <w:ind w:firstLine="520"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0"/>
          <w:position w:val="1"/>
          <w:sz w:val="24"/>
          <w:szCs w:val="24"/>
          <w:highlight w:val="none"/>
        </w:rPr>
        <w:t>（四</w:t>
      </w:r>
      <w:r>
        <w:rPr>
          <w:rFonts w:hint="eastAsia" w:ascii="宋体" w:hAnsi="宋体" w:eastAsia="宋体" w:cs="宋体"/>
          <w:color w:val="000000"/>
          <w:spacing w:val="11"/>
          <w:position w:val="1"/>
          <w:sz w:val="24"/>
          <w:szCs w:val="24"/>
          <w:highlight w:val="none"/>
        </w:rPr>
        <w:t>）</w:t>
      </w:r>
      <w:r>
        <w:rPr>
          <w:rFonts w:hint="eastAsia" w:ascii="宋体" w:hAnsi="宋体" w:eastAsia="宋体" w:cs="宋体"/>
          <w:color w:val="000000"/>
          <w:spacing w:val="10"/>
          <w:position w:val="1"/>
          <w:sz w:val="24"/>
          <w:szCs w:val="24"/>
          <w:highlight w:val="none"/>
        </w:rPr>
        <w:t>不得</w:t>
      </w:r>
      <w:r>
        <w:rPr>
          <w:rFonts w:hint="eastAsia" w:ascii="宋体" w:hAnsi="宋体" w:eastAsia="宋体" w:cs="宋体"/>
          <w:color w:val="000000"/>
          <w:spacing w:val="9"/>
          <w:position w:val="1"/>
          <w:sz w:val="24"/>
          <w:szCs w:val="24"/>
          <w:highlight w:val="none"/>
        </w:rPr>
        <w:t>以任何理由为甲方及其工作人员购置或长期提供通信工具</w:t>
      </w:r>
      <w:r>
        <w:rPr>
          <w:rFonts w:hint="eastAsia" w:ascii="宋体" w:hAnsi="宋体" w:eastAsia="宋体" w:cs="宋体"/>
          <w:color w:val="000000"/>
          <w:spacing w:val="11"/>
          <w:position w:val="1"/>
          <w:sz w:val="24"/>
          <w:szCs w:val="24"/>
          <w:highlight w:val="none"/>
        </w:rPr>
        <w:t>、</w:t>
      </w:r>
      <w:r>
        <w:rPr>
          <w:rFonts w:hint="eastAsia" w:ascii="宋体" w:hAnsi="宋体" w:eastAsia="宋体" w:cs="宋体"/>
          <w:color w:val="000000"/>
          <w:spacing w:val="9"/>
          <w:position w:val="1"/>
          <w:sz w:val="24"/>
          <w:szCs w:val="24"/>
          <w:highlight w:val="none"/>
        </w:rPr>
        <w:t>交通工具等</w:t>
      </w:r>
      <w:r>
        <w:rPr>
          <w:rFonts w:hint="eastAsia" w:ascii="宋体" w:hAnsi="宋体" w:eastAsia="宋体" w:cs="宋体"/>
          <w:color w:val="000000"/>
          <w:spacing w:val="11"/>
          <w:position w:val="1"/>
          <w:sz w:val="24"/>
          <w:szCs w:val="24"/>
          <w:highlight w:val="none"/>
        </w:rPr>
        <w:t>。</w:t>
      </w:r>
    </w:p>
    <w:p w14:paraId="678CC94F">
      <w:pPr>
        <w:shd w:val="clear" w:color="auto" w:fill="auto"/>
        <w:spacing w:line="400" w:lineRule="exact"/>
        <w:ind w:left="3" w:right="24" w:firstLine="524"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1"/>
          <w:sz w:val="24"/>
          <w:szCs w:val="24"/>
          <w:highlight w:val="none"/>
        </w:rPr>
        <w:t>（五</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1"/>
          <w:sz w:val="24"/>
          <w:szCs w:val="24"/>
          <w:highlight w:val="none"/>
        </w:rPr>
        <w:t>对甲方及其个</w:t>
      </w:r>
      <w:r>
        <w:rPr>
          <w:rFonts w:hint="eastAsia" w:ascii="宋体" w:hAnsi="宋体" w:eastAsia="宋体" w:cs="宋体"/>
          <w:color w:val="000000"/>
          <w:spacing w:val="10"/>
          <w:sz w:val="24"/>
          <w:szCs w:val="24"/>
          <w:highlight w:val="none"/>
        </w:rPr>
        <w:t>人索要钱物</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介绍或指定工程分包单位和物资供应商</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推销或指定使用物资设备</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0"/>
          <w:sz w:val="24"/>
          <w:szCs w:val="24"/>
          <w:highlight w:val="none"/>
        </w:rPr>
        <w:t>借用占</w:t>
      </w:r>
      <w:r>
        <w:rPr>
          <w:rFonts w:hint="eastAsia" w:ascii="宋体" w:hAnsi="宋体" w:eastAsia="宋体" w:cs="宋体"/>
          <w:color w:val="000000"/>
          <w:spacing w:val="9"/>
          <w:sz w:val="24"/>
          <w:szCs w:val="24"/>
          <w:highlight w:val="none"/>
        </w:rPr>
        <w:t>用车辆等行为予以拒绝</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并及时主动向乙方上级纪检监察组织报告</w:t>
      </w:r>
      <w:r>
        <w:rPr>
          <w:rFonts w:hint="eastAsia" w:ascii="宋体" w:hAnsi="宋体" w:eastAsia="宋体" w:cs="宋体"/>
          <w:color w:val="000000"/>
          <w:spacing w:val="11"/>
          <w:sz w:val="24"/>
          <w:szCs w:val="24"/>
          <w:highlight w:val="none"/>
        </w:rPr>
        <w:t>。</w:t>
      </w:r>
    </w:p>
    <w:p w14:paraId="68DF7BCE">
      <w:pPr>
        <w:shd w:val="clear" w:color="auto" w:fill="auto"/>
        <w:spacing w:line="400" w:lineRule="exact"/>
        <w:ind w:firstLine="520"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10"/>
          <w:sz w:val="24"/>
          <w:szCs w:val="24"/>
          <w:highlight w:val="none"/>
        </w:rPr>
        <w:t>（六</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0"/>
          <w:sz w:val="24"/>
          <w:szCs w:val="24"/>
          <w:highlight w:val="none"/>
        </w:rPr>
        <w:t>对</w:t>
      </w:r>
      <w:r>
        <w:rPr>
          <w:rFonts w:hint="eastAsia" w:ascii="宋体" w:hAnsi="宋体" w:eastAsia="宋体" w:cs="宋体"/>
          <w:color w:val="000000"/>
          <w:spacing w:val="9"/>
          <w:sz w:val="24"/>
          <w:szCs w:val="24"/>
          <w:highlight w:val="none"/>
        </w:rPr>
        <w:t>甲方提供的乙方（含乙方人员</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违纪违规有关信息</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应及时调查处理并反馈结果</w:t>
      </w:r>
      <w:r>
        <w:rPr>
          <w:rFonts w:hint="eastAsia" w:ascii="宋体" w:hAnsi="宋体" w:eastAsia="宋体" w:cs="宋体"/>
          <w:color w:val="000000"/>
          <w:spacing w:val="11"/>
          <w:sz w:val="24"/>
          <w:szCs w:val="24"/>
          <w:highlight w:val="none"/>
        </w:rPr>
        <w:t>。</w:t>
      </w:r>
    </w:p>
    <w:p w14:paraId="5A178EC9">
      <w:pPr>
        <w:shd w:val="clear" w:color="auto" w:fill="auto"/>
        <w:spacing w:line="400" w:lineRule="exact"/>
        <w:ind w:left="3" w:right="24" w:firstLine="512"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（七）乙方不得以任何理由为甲方及其工作人员组织有可能影响公正执行公务的宴请和各类休闲娱</w:t>
      </w:r>
      <w:r>
        <w:rPr>
          <w:rFonts w:hint="eastAsia" w:ascii="宋体" w:hAnsi="宋体" w:eastAsia="宋体" w:cs="宋体"/>
          <w:color w:val="000000"/>
          <w:spacing w:val="5"/>
          <w:sz w:val="24"/>
          <w:szCs w:val="24"/>
          <w:highlight w:val="none"/>
        </w:rPr>
        <w:t>乐等活动</w:t>
      </w:r>
      <w:r>
        <w:rPr>
          <w:rFonts w:hint="eastAsia" w:ascii="宋体" w:hAnsi="宋体" w:eastAsia="宋体" w:cs="宋体"/>
          <w:color w:val="000000"/>
          <w:spacing w:val="6"/>
          <w:sz w:val="24"/>
          <w:szCs w:val="24"/>
          <w:highlight w:val="none"/>
        </w:rPr>
        <w:t>。</w:t>
      </w:r>
    </w:p>
    <w:p w14:paraId="7BBAC6F7">
      <w:pPr>
        <w:shd w:val="clear" w:color="auto" w:fill="auto"/>
        <w:spacing w:line="400" w:lineRule="exact"/>
        <w:ind w:left="246" w:leftChars="77" w:right="90" w:firstLine="510" w:firstLineChars="198"/>
        <w:rPr>
          <w:rFonts w:hint="eastAsia" w:ascii="宋体" w:hAnsi="宋体" w:eastAsia="宋体" w:cs="宋体"/>
          <w:color w:val="000000"/>
          <w:spacing w:val="10"/>
          <w:sz w:val="24"/>
          <w:szCs w:val="24"/>
          <w:highlight w:val="none"/>
        </w:rPr>
      </w:pPr>
      <w:r>
        <w:rPr>
          <w:rFonts w:hint="eastAsia" w:ascii="宋体" w:hAnsi="宋体" w:eastAsia="宋体" w:cs="宋体"/>
          <w:color w:val="000000"/>
          <w:spacing w:val="9"/>
          <w:sz w:val="24"/>
          <w:szCs w:val="24"/>
          <w:highlight w:val="none"/>
        </w:rPr>
        <w:t>（八</w:t>
      </w: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9"/>
          <w:sz w:val="24"/>
          <w:szCs w:val="24"/>
          <w:highlight w:val="none"/>
        </w:rPr>
        <w:t>乙方及其工作人员必须严格按照有关规程办事</w:t>
      </w: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9"/>
          <w:sz w:val="24"/>
          <w:szCs w:val="24"/>
          <w:highlight w:val="none"/>
        </w:rPr>
        <w:t>不得与其</w:t>
      </w:r>
      <w:r>
        <w:rPr>
          <w:rFonts w:hint="eastAsia" w:ascii="宋体" w:hAnsi="宋体" w:eastAsia="宋体" w:cs="宋体"/>
          <w:color w:val="000000"/>
          <w:spacing w:val="8"/>
          <w:sz w:val="24"/>
          <w:szCs w:val="24"/>
          <w:highlight w:val="none"/>
        </w:rPr>
        <w:t>他单位互相串通</w:t>
      </w:r>
      <w:r>
        <w:rPr>
          <w:rFonts w:hint="eastAsia" w:ascii="宋体" w:hAnsi="宋体" w:eastAsia="宋体" w:cs="宋体"/>
          <w:color w:val="000000"/>
          <w:spacing w:val="10"/>
          <w:sz w:val="24"/>
          <w:szCs w:val="24"/>
          <w:highlight w:val="none"/>
        </w:rPr>
        <w:t>，</w:t>
      </w:r>
      <w:r>
        <w:rPr>
          <w:rFonts w:hint="eastAsia" w:ascii="宋体" w:hAnsi="宋体" w:eastAsia="宋体" w:cs="宋体"/>
          <w:color w:val="000000"/>
          <w:spacing w:val="8"/>
          <w:sz w:val="24"/>
          <w:szCs w:val="24"/>
          <w:highlight w:val="none"/>
        </w:rPr>
        <w:t>损害甲方利益</w:t>
      </w:r>
      <w:r>
        <w:rPr>
          <w:rFonts w:hint="eastAsia" w:ascii="宋体" w:hAnsi="宋体" w:eastAsia="宋体" w:cs="宋体"/>
          <w:color w:val="000000"/>
          <w:spacing w:val="10"/>
          <w:sz w:val="24"/>
          <w:szCs w:val="24"/>
          <w:highlight w:val="none"/>
        </w:rPr>
        <w:t>。</w:t>
      </w:r>
    </w:p>
    <w:p w14:paraId="2CB6A8A7">
      <w:pPr>
        <w:shd w:val="clear" w:color="auto" w:fill="auto"/>
        <w:spacing w:line="400" w:lineRule="exact"/>
        <w:ind w:right="90"/>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第四条</w:t>
      </w:r>
      <w:r>
        <w:rPr>
          <w:rFonts w:hint="eastAsia" w:ascii="宋体" w:hAnsi="宋体" w:eastAsia="宋体" w:cs="宋体"/>
          <w:color w:val="000000"/>
          <w:spacing w:val="6"/>
          <w:sz w:val="24"/>
          <w:szCs w:val="24"/>
          <w:highlight w:val="none"/>
        </w:rPr>
        <w:t>违约责任</w:t>
      </w:r>
    </w:p>
    <w:p w14:paraId="0301737E">
      <w:pPr>
        <w:shd w:val="clear" w:color="auto" w:fill="auto"/>
        <w:spacing w:line="400" w:lineRule="exact"/>
        <w:ind w:left="3" w:right="24" w:firstLine="529" w:firstLineChars="207"/>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甲乙双方不履行各自义务，构成犯罪和违纪</w:t>
      </w:r>
      <w:r>
        <w:rPr>
          <w:rFonts w:hint="eastAsia" w:ascii="宋体" w:hAnsi="宋体" w:eastAsia="宋体" w:cs="宋体"/>
          <w:color w:val="000000"/>
          <w:spacing w:val="7"/>
          <w:sz w:val="24"/>
          <w:szCs w:val="24"/>
          <w:highlight w:val="none"/>
        </w:rPr>
        <w:t>的</w:t>
      </w:r>
      <w:r>
        <w:rPr>
          <w:rFonts w:hint="eastAsia" w:ascii="宋体" w:hAnsi="宋体" w:eastAsia="宋体" w:cs="宋体"/>
          <w:color w:val="000000"/>
          <w:spacing w:val="8"/>
          <w:sz w:val="24"/>
          <w:szCs w:val="24"/>
          <w:highlight w:val="none"/>
        </w:rPr>
        <w:t>，</w:t>
      </w:r>
      <w:r>
        <w:rPr>
          <w:rFonts w:hint="eastAsia" w:ascii="宋体" w:hAnsi="宋体" w:eastAsia="宋体" w:cs="宋体"/>
          <w:color w:val="000000"/>
          <w:spacing w:val="7"/>
          <w:sz w:val="24"/>
          <w:szCs w:val="24"/>
          <w:highlight w:val="none"/>
        </w:rPr>
        <w:t>由司法机关和有关纪检监察部门按管辖依法依纪处</w:t>
      </w:r>
      <w:r>
        <w:rPr>
          <w:rFonts w:hint="eastAsia" w:ascii="宋体" w:hAnsi="宋体" w:eastAsia="宋体" w:cs="宋体"/>
          <w:color w:val="000000"/>
          <w:spacing w:val="9"/>
          <w:sz w:val="24"/>
          <w:szCs w:val="24"/>
          <w:highlight w:val="none"/>
        </w:rPr>
        <w:t>理</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所认定的事实和处理结果作为承担下列约定违约责任的依据</w:t>
      </w:r>
      <w:r>
        <w:rPr>
          <w:rFonts w:hint="eastAsia" w:ascii="宋体" w:hAnsi="宋体" w:eastAsia="宋体" w:cs="宋体"/>
          <w:color w:val="000000"/>
          <w:spacing w:val="11"/>
          <w:sz w:val="24"/>
          <w:szCs w:val="24"/>
          <w:highlight w:val="none"/>
        </w:rPr>
        <w:t>。</w:t>
      </w:r>
    </w:p>
    <w:p w14:paraId="18DE950A">
      <w:pPr>
        <w:shd w:val="clear" w:color="auto" w:fill="auto"/>
        <w:spacing w:line="400" w:lineRule="exact"/>
        <w:ind w:left="4" w:right="24" w:firstLine="512"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（一</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甲乙双方工作人员有违反本协议约定的责任行为的</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按照管理权限</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依据有关法律法</w:t>
      </w:r>
      <w:r>
        <w:rPr>
          <w:rFonts w:hint="eastAsia" w:ascii="宋体" w:hAnsi="宋体" w:eastAsia="宋体" w:cs="宋体"/>
          <w:color w:val="000000"/>
          <w:spacing w:val="7"/>
          <w:sz w:val="24"/>
          <w:szCs w:val="24"/>
          <w:highlight w:val="none"/>
        </w:rPr>
        <w:t>规和甲</w:t>
      </w:r>
      <w:r>
        <w:rPr>
          <w:rFonts w:hint="eastAsia" w:ascii="宋体" w:hAnsi="宋体" w:eastAsia="宋体" w:cs="宋体"/>
          <w:color w:val="000000"/>
          <w:spacing w:val="11"/>
          <w:sz w:val="24"/>
          <w:szCs w:val="24"/>
          <w:highlight w:val="none"/>
        </w:rPr>
        <w:t>乙</w:t>
      </w:r>
      <w:r>
        <w:rPr>
          <w:rFonts w:hint="eastAsia" w:ascii="宋体" w:hAnsi="宋体" w:eastAsia="宋体" w:cs="宋体"/>
          <w:color w:val="000000"/>
          <w:spacing w:val="10"/>
          <w:sz w:val="24"/>
          <w:szCs w:val="24"/>
          <w:highlight w:val="none"/>
        </w:rPr>
        <w:t>双方单位及其上级党政部门党风廉政建设规定给予当事人批评教育</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组织处理或党纪政纪处分</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涉嫌犯</w:t>
      </w:r>
      <w:r>
        <w:rPr>
          <w:rFonts w:hint="eastAsia" w:ascii="宋体" w:hAnsi="宋体" w:eastAsia="宋体" w:cs="宋体"/>
          <w:color w:val="000000"/>
          <w:spacing w:val="9"/>
          <w:sz w:val="24"/>
          <w:szCs w:val="24"/>
          <w:highlight w:val="none"/>
        </w:rPr>
        <w:t>罪的</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移交司法机关追究刑事责任</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给甲方单位造成经济损失的</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9"/>
          <w:sz w:val="24"/>
          <w:szCs w:val="24"/>
          <w:highlight w:val="none"/>
        </w:rPr>
        <w:t>应予以赔偿</w:t>
      </w:r>
      <w:r>
        <w:rPr>
          <w:rFonts w:hint="eastAsia" w:ascii="宋体" w:hAnsi="宋体" w:eastAsia="宋体" w:cs="宋体"/>
          <w:color w:val="000000"/>
          <w:spacing w:val="11"/>
          <w:sz w:val="24"/>
          <w:szCs w:val="24"/>
          <w:highlight w:val="none"/>
        </w:rPr>
        <w:t>。</w:t>
      </w:r>
    </w:p>
    <w:p w14:paraId="1D6B2479">
      <w:pPr>
        <w:shd w:val="clear" w:color="auto" w:fill="auto"/>
        <w:spacing w:line="400" w:lineRule="exact"/>
        <w:ind w:left="3" w:right="24" w:firstLine="496"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rPr>
        <w:t>（二）乙方贿赂甲方人员的，</w:t>
      </w:r>
      <w:r>
        <w:rPr>
          <w:rFonts w:hint="eastAsia" w:ascii="宋体" w:hAnsi="宋体" w:eastAsia="宋体" w:cs="宋体"/>
          <w:color w:val="000000"/>
          <w:spacing w:val="3"/>
          <w:sz w:val="24"/>
          <w:szCs w:val="24"/>
          <w:highlight w:val="none"/>
        </w:rPr>
        <w:t>被纪检监察部门或检察机关立案查处的</w:t>
      </w:r>
      <w:r>
        <w:rPr>
          <w:rFonts w:hint="eastAsia" w:ascii="宋体" w:hAnsi="宋体" w:eastAsia="宋体" w:cs="宋体"/>
          <w:color w:val="000000"/>
          <w:spacing w:val="4"/>
          <w:sz w:val="24"/>
          <w:szCs w:val="24"/>
          <w:highlight w:val="none"/>
        </w:rPr>
        <w:t>，</w:t>
      </w:r>
      <w:r>
        <w:rPr>
          <w:rFonts w:hint="eastAsia" w:ascii="宋体" w:hAnsi="宋体" w:eastAsia="宋体" w:cs="宋体"/>
          <w:color w:val="000000"/>
          <w:spacing w:val="3"/>
          <w:sz w:val="24"/>
          <w:szCs w:val="24"/>
          <w:highlight w:val="none"/>
        </w:rPr>
        <w:t>甲方有权中止项目合同</w:t>
      </w:r>
      <w:r>
        <w:rPr>
          <w:rFonts w:hint="eastAsia" w:ascii="宋体" w:hAnsi="宋体" w:eastAsia="宋体" w:cs="宋体"/>
          <w:color w:val="000000"/>
          <w:spacing w:val="4"/>
          <w:sz w:val="24"/>
          <w:szCs w:val="24"/>
          <w:highlight w:val="none"/>
        </w:rPr>
        <w:t>，</w:t>
      </w:r>
      <w:r>
        <w:rPr>
          <w:rFonts w:hint="eastAsia" w:ascii="宋体" w:hAnsi="宋体" w:eastAsia="宋体" w:cs="宋体"/>
          <w:color w:val="000000"/>
          <w:spacing w:val="3"/>
          <w:sz w:val="24"/>
          <w:szCs w:val="24"/>
          <w:highlight w:val="none"/>
        </w:rPr>
        <w:t>由</w:t>
      </w:r>
      <w:r>
        <w:rPr>
          <w:rFonts w:hint="eastAsia" w:ascii="宋体" w:hAnsi="宋体" w:eastAsia="宋体" w:cs="宋体"/>
          <w:color w:val="000000"/>
          <w:spacing w:val="9"/>
          <w:sz w:val="24"/>
          <w:szCs w:val="24"/>
          <w:highlight w:val="none"/>
        </w:rPr>
        <w:t>此造成甲方的损失以及一切费用均</w:t>
      </w:r>
      <w:r>
        <w:rPr>
          <w:rFonts w:hint="eastAsia" w:ascii="宋体" w:hAnsi="宋体" w:eastAsia="宋体" w:cs="宋体"/>
          <w:color w:val="000000"/>
          <w:spacing w:val="8"/>
          <w:sz w:val="24"/>
          <w:szCs w:val="24"/>
          <w:highlight w:val="none"/>
        </w:rPr>
        <w:t>由乙方承担</w:t>
      </w:r>
      <w:r>
        <w:rPr>
          <w:rFonts w:hint="eastAsia" w:ascii="宋体" w:hAnsi="宋体" w:eastAsia="宋体" w:cs="宋体"/>
          <w:color w:val="000000"/>
          <w:spacing w:val="10"/>
          <w:sz w:val="24"/>
          <w:szCs w:val="24"/>
          <w:highlight w:val="none"/>
        </w:rPr>
        <w:t>。</w:t>
      </w:r>
    </w:p>
    <w:p w14:paraId="090EB3D2">
      <w:pPr>
        <w:shd w:val="clear" w:color="auto" w:fill="auto"/>
        <w:spacing w:line="400" w:lineRule="exact"/>
        <w:ind w:left="3" w:right="24" w:firstLine="512"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（三</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甲方双方不履行协议约定义务的</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应将责任人调离本项目并按规定予以处理</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且双方</w:t>
      </w:r>
      <w:r>
        <w:rPr>
          <w:rFonts w:hint="eastAsia" w:ascii="宋体" w:hAnsi="宋体" w:eastAsia="宋体" w:cs="宋体"/>
          <w:color w:val="000000"/>
          <w:spacing w:val="7"/>
          <w:sz w:val="24"/>
          <w:szCs w:val="24"/>
          <w:highlight w:val="none"/>
        </w:rPr>
        <w:t>有义务</w:t>
      </w:r>
      <w:r>
        <w:rPr>
          <w:rFonts w:hint="eastAsia" w:ascii="宋体" w:hAnsi="宋体" w:eastAsia="宋体" w:cs="宋体"/>
          <w:color w:val="000000"/>
          <w:spacing w:val="9"/>
          <w:sz w:val="24"/>
          <w:szCs w:val="24"/>
          <w:highlight w:val="none"/>
        </w:rPr>
        <w:t>将有关责任人的责任追</w:t>
      </w:r>
      <w:r>
        <w:rPr>
          <w:rFonts w:hint="eastAsia" w:ascii="宋体" w:hAnsi="宋体" w:eastAsia="宋体" w:cs="宋体"/>
          <w:color w:val="000000"/>
          <w:spacing w:val="8"/>
          <w:sz w:val="24"/>
          <w:szCs w:val="24"/>
          <w:highlight w:val="none"/>
        </w:rPr>
        <w:t>究情况通报对方</w:t>
      </w:r>
      <w:r>
        <w:rPr>
          <w:rFonts w:hint="eastAsia" w:ascii="宋体" w:hAnsi="宋体" w:eastAsia="宋体" w:cs="宋体"/>
          <w:color w:val="000000"/>
          <w:spacing w:val="9"/>
          <w:sz w:val="24"/>
          <w:szCs w:val="24"/>
          <w:highlight w:val="none"/>
        </w:rPr>
        <w:t>。</w:t>
      </w:r>
    </w:p>
    <w:p w14:paraId="3EFE40F0">
      <w:pPr>
        <w:shd w:val="clear" w:color="auto" w:fill="auto"/>
        <w:spacing w:line="400" w:lineRule="exact"/>
        <w:ind w:left="5" w:right="24" w:firstLine="504"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6"/>
          <w:sz w:val="24"/>
          <w:szCs w:val="24"/>
          <w:highlight w:val="none"/>
        </w:rPr>
        <w:t>（四）甲乙双方自觉履行本协议并互相监督，一方不履行协议</w:t>
      </w:r>
      <w:r>
        <w:rPr>
          <w:rFonts w:hint="eastAsia" w:ascii="宋体" w:hAnsi="宋体" w:eastAsia="宋体" w:cs="宋体"/>
          <w:color w:val="000000"/>
          <w:spacing w:val="5"/>
          <w:sz w:val="24"/>
          <w:szCs w:val="24"/>
          <w:highlight w:val="none"/>
        </w:rPr>
        <w:t>的</w:t>
      </w:r>
      <w:r>
        <w:rPr>
          <w:rFonts w:hint="eastAsia" w:ascii="宋体" w:hAnsi="宋体" w:eastAsia="宋体" w:cs="宋体"/>
          <w:color w:val="000000"/>
          <w:spacing w:val="6"/>
          <w:sz w:val="24"/>
          <w:szCs w:val="24"/>
          <w:highlight w:val="none"/>
        </w:rPr>
        <w:t>，</w:t>
      </w:r>
      <w:r>
        <w:rPr>
          <w:rFonts w:hint="eastAsia" w:ascii="宋体" w:hAnsi="宋体" w:eastAsia="宋体" w:cs="宋体"/>
          <w:color w:val="000000"/>
          <w:spacing w:val="5"/>
          <w:sz w:val="24"/>
          <w:szCs w:val="24"/>
          <w:highlight w:val="none"/>
        </w:rPr>
        <w:t>另一方有权利和义务进行举报</w:t>
      </w:r>
      <w:r>
        <w:rPr>
          <w:rFonts w:hint="eastAsia" w:ascii="宋体" w:hAnsi="宋体" w:eastAsia="宋体" w:cs="宋体"/>
          <w:color w:val="000000"/>
          <w:spacing w:val="6"/>
          <w:sz w:val="24"/>
          <w:szCs w:val="24"/>
          <w:highlight w:val="none"/>
        </w:rPr>
        <w:t>。</w:t>
      </w:r>
      <w:r>
        <w:rPr>
          <w:rFonts w:hint="eastAsia" w:ascii="宋体" w:hAnsi="宋体" w:eastAsia="宋体" w:cs="宋体"/>
          <w:color w:val="000000"/>
          <w:spacing w:val="11"/>
          <w:sz w:val="24"/>
          <w:szCs w:val="24"/>
          <w:highlight w:val="none"/>
        </w:rPr>
        <w:t>一方主动举报另一方</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举报方不承担上述约定的违约责任</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全部由被举报方承担</w:t>
      </w:r>
      <w:r>
        <w:rPr>
          <w:rFonts w:hint="eastAsia" w:ascii="宋体" w:hAnsi="宋体" w:eastAsia="宋体" w:cs="宋体"/>
          <w:color w:val="000000"/>
          <w:spacing w:val="12"/>
          <w:sz w:val="24"/>
          <w:szCs w:val="24"/>
          <w:highlight w:val="none"/>
        </w:rPr>
        <w:t>，</w:t>
      </w:r>
      <w:r>
        <w:rPr>
          <w:rFonts w:hint="eastAsia" w:ascii="宋体" w:hAnsi="宋体" w:eastAsia="宋体" w:cs="宋体"/>
          <w:color w:val="000000"/>
          <w:spacing w:val="10"/>
          <w:sz w:val="24"/>
          <w:szCs w:val="24"/>
          <w:highlight w:val="none"/>
        </w:rPr>
        <w:t>但不免除各自应</w:t>
      </w:r>
      <w:r>
        <w:rPr>
          <w:rFonts w:hint="eastAsia" w:ascii="宋体" w:hAnsi="宋体" w:eastAsia="宋体" w:cs="宋体"/>
          <w:color w:val="000000"/>
          <w:spacing w:val="6"/>
          <w:sz w:val="24"/>
          <w:szCs w:val="24"/>
          <w:highlight w:val="none"/>
        </w:rPr>
        <w:t>负的法纪责任</w:t>
      </w:r>
      <w:r>
        <w:rPr>
          <w:rFonts w:hint="eastAsia" w:ascii="宋体" w:hAnsi="宋体" w:eastAsia="宋体" w:cs="宋体"/>
          <w:color w:val="000000"/>
          <w:spacing w:val="8"/>
          <w:sz w:val="24"/>
          <w:szCs w:val="24"/>
          <w:highlight w:val="none"/>
        </w:rPr>
        <w:t>。</w:t>
      </w:r>
    </w:p>
    <w:p w14:paraId="55718D6A">
      <w:pPr>
        <w:shd w:val="clear" w:color="auto" w:fill="auto"/>
        <w:spacing w:line="400" w:lineRule="exact"/>
        <w:ind w:firstLine="508"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7"/>
          <w:sz w:val="24"/>
          <w:szCs w:val="24"/>
          <w:highlight w:val="none"/>
        </w:rPr>
        <w:t>（五）由于甲乙双方单位或工作人员个人行</w:t>
      </w:r>
      <w:r>
        <w:rPr>
          <w:rFonts w:hint="eastAsia" w:ascii="宋体" w:hAnsi="宋体" w:eastAsia="宋体" w:cs="宋体"/>
          <w:color w:val="000000"/>
          <w:spacing w:val="6"/>
          <w:sz w:val="24"/>
          <w:szCs w:val="24"/>
          <w:highlight w:val="none"/>
        </w:rPr>
        <w:t>为造成违约的</w:t>
      </w:r>
      <w:r>
        <w:rPr>
          <w:rFonts w:hint="eastAsia" w:ascii="宋体" w:hAnsi="宋体" w:eastAsia="宋体" w:cs="宋体"/>
          <w:color w:val="000000"/>
          <w:spacing w:val="7"/>
          <w:sz w:val="24"/>
          <w:szCs w:val="24"/>
          <w:highlight w:val="none"/>
        </w:rPr>
        <w:t>，</w:t>
      </w:r>
      <w:r>
        <w:rPr>
          <w:rFonts w:hint="eastAsia" w:ascii="宋体" w:hAnsi="宋体" w:eastAsia="宋体" w:cs="宋体"/>
          <w:color w:val="000000"/>
          <w:spacing w:val="6"/>
          <w:sz w:val="24"/>
          <w:szCs w:val="24"/>
          <w:highlight w:val="none"/>
        </w:rPr>
        <w:t>双方承担上述违约责任</w:t>
      </w:r>
      <w:r>
        <w:rPr>
          <w:rFonts w:hint="eastAsia" w:ascii="宋体" w:hAnsi="宋体" w:eastAsia="宋体" w:cs="宋体"/>
          <w:color w:val="000000"/>
          <w:spacing w:val="7"/>
          <w:sz w:val="24"/>
          <w:szCs w:val="24"/>
          <w:highlight w:val="none"/>
        </w:rPr>
        <w:t>。</w:t>
      </w:r>
    </w:p>
    <w:p w14:paraId="369A8F59">
      <w:pPr>
        <w:shd w:val="clear" w:color="auto" w:fill="auto"/>
        <w:spacing w:line="400" w:lineRule="exact"/>
        <w:ind w:left="3" w:right="24" w:firstLine="512" w:firstLineChars="200"/>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（六</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甲乙双方在履行协议中发生争议</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一方有权向对方上级单位主管部门和纪检监察部门反</w:t>
      </w:r>
      <w:r>
        <w:rPr>
          <w:rFonts w:hint="eastAsia" w:ascii="宋体" w:hAnsi="宋体" w:eastAsia="宋体" w:cs="宋体"/>
          <w:color w:val="000000"/>
          <w:spacing w:val="7"/>
          <w:sz w:val="24"/>
          <w:szCs w:val="24"/>
          <w:highlight w:val="none"/>
        </w:rPr>
        <w:t>映情</w:t>
      </w:r>
      <w:r>
        <w:rPr>
          <w:rFonts w:hint="eastAsia" w:ascii="宋体" w:hAnsi="宋体" w:eastAsia="宋体" w:cs="宋体"/>
          <w:color w:val="000000"/>
          <w:spacing w:val="8"/>
          <w:sz w:val="24"/>
          <w:szCs w:val="24"/>
          <w:highlight w:val="none"/>
        </w:rPr>
        <w:t>况并要求帮助解</w:t>
      </w:r>
      <w:r>
        <w:rPr>
          <w:rFonts w:hint="eastAsia" w:ascii="宋体" w:hAnsi="宋体" w:eastAsia="宋体" w:cs="宋体"/>
          <w:color w:val="000000"/>
          <w:spacing w:val="7"/>
          <w:sz w:val="24"/>
          <w:szCs w:val="24"/>
          <w:highlight w:val="none"/>
        </w:rPr>
        <w:t>决争议</w:t>
      </w:r>
      <w:r>
        <w:rPr>
          <w:rFonts w:hint="eastAsia" w:ascii="宋体" w:hAnsi="宋体" w:eastAsia="宋体" w:cs="宋体"/>
          <w:color w:val="000000"/>
          <w:spacing w:val="9"/>
          <w:sz w:val="24"/>
          <w:szCs w:val="24"/>
          <w:highlight w:val="none"/>
        </w:rPr>
        <w:t>。</w:t>
      </w:r>
    </w:p>
    <w:p w14:paraId="24B4E57E">
      <w:pPr>
        <w:shd w:val="clear" w:color="auto" w:fill="auto"/>
        <w:spacing w:line="400" w:lineRule="exact"/>
        <w:ind w:firstLine="11"/>
        <w:rPr>
          <w:rFonts w:hint="eastAsia" w:ascii="宋体" w:hAnsi="宋体" w:eastAsia="宋体" w:cs="宋体"/>
          <w:color w:val="000000"/>
          <w:sz w:val="24"/>
          <w:szCs w:val="24"/>
          <w:highlight w:val="none"/>
        </w:rPr>
      </w:pPr>
      <w:r>
        <w:rPr>
          <w:rFonts w:hint="eastAsia" w:ascii="宋体" w:hAnsi="宋体" w:eastAsia="宋体" w:cs="宋体"/>
          <w:color w:val="000000"/>
          <w:spacing w:val="9"/>
          <w:sz w:val="24"/>
          <w:szCs w:val="24"/>
          <w:highlight w:val="none"/>
        </w:rPr>
        <w:t>第五条本协议有效期为双方签</w:t>
      </w:r>
      <w:r>
        <w:rPr>
          <w:rFonts w:hint="eastAsia" w:ascii="宋体" w:hAnsi="宋体" w:eastAsia="宋体" w:cs="宋体"/>
          <w:color w:val="000000"/>
          <w:spacing w:val="8"/>
          <w:sz w:val="24"/>
          <w:szCs w:val="24"/>
          <w:highlight w:val="none"/>
        </w:rPr>
        <w:t>署之日起至双方权利义务履行完毕为止</w:t>
      </w:r>
      <w:r>
        <w:rPr>
          <w:rFonts w:hint="eastAsia" w:ascii="宋体" w:hAnsi="宋体" w:eastAsia="宋体" w:cs="宋体"/>
          <w:color w:val="000000"/>
          <w:spacing w:val="9"/>
          <w:sz w:val="24"/>
          <w:szCs w:val="24"/>
          <w:highlight w:val="none"/>
        </w:rPr>
        <w:t>。</w:t>
      </w:r>
      <w:r>
        <w:rPr>
          <w:rFonts w:hint="eastAsia" w:ascii="宋体" w:hAnsi="宋体" w:eastAsia="宋体" w:cs="宋体"/>
          <w:color w:val="000000"/>
          <w:spacing w:val="8"/>
          <w:sz w:val="24"/>
          <w:szCs w:val="24"/>
          <w:highlight w:val="none"/>
        </w:rPr>
        <w:t>有效期内发生的违约事实</w:t>
      </w:r>
      <w:r>
        <w:rPr>
          <w:rFonts w:hint="eastAsia" w:ascii="宋体" w:hAnsi="宋体" w:eastAsia="宋体" w:cs="宋体"/>
          <w:color w:val="000000"/>
          <w:spacing w:val="9"/>
          <w:sz w:val="24"/>
          <w:szCs w:val="24"/>
          <w:highlight w:val="none"/>
        </w:rPr>
        <w:t>，有效期后</w:t>
      </w:r>
      <w:r>
        <w:rPr>
          <w:rFonts w:hint="eastAsia" w:ascii="宋体" w:hAnsi="宋体" w:eastAsia="宋体" w:cs="宋体"/>
          <w:color w:val="000000"/>
          <w:spacing w:val="8"/>
          <w:sz w:val="24"/>
          <w:szCs w:val="24"/>
          <w:highlight w:val="none"/>
        </w:rPr>
        <w:t>发现的适用本协议</w:t>
      </w:r>
      <w:r>
        <w:rPr>
          <w:rFonts w:hint="eastAsia" w:ascii="宋体" w:hAnsi="宋体" w:eastAsia="宋体" w:cs="宋体"/>
          <w:color w:val="000000"/>
          <w:spacing w:val="9"/>
          <w:sz w:val="24"/>
          <w:szCs w:val="24"/>
          <w:highlight w:val="none"/>
        </w:rPr>
        <w:t>。</w:t>
      </w:r>
    </w:p>
    <w:p w14:paraId="39E82C7D">
      <w:pPr>
        <w:shd w:val="clear" w:color="auto" w:fill="auto"/>
        <w:spacing w:line="400" w:lineRule="exact"/>
        <w:rPr>
          <w:rFonts w:hint="eastAsia" w:ascii="宋体" w:hAnsi="宋体" w:eastAsia="宋体" w:cs="宋体"/>
          <w:color w:val="000000"/>
          <w:sz w:val="24"/>
          <w:szCs w:val="24"/>
          <w:highlight w:val="none"/>
        </w:rPr>
        <w:sectPr>
          <w:pgSz w:w="11906" w:h="16838"/>
          <w:pgMar w:top="1440" w:right="1080" w:bottom="1440" w:left="1080" w:header="0" w:footer="714" w:gutter="0"/>
          <w:pgNumType w:fmt="decimal"/>
          <w:cols w:space="720" w:num="1"/>
          <w:docGrid w:linePitch="286" w:charSpace="0"/>
        </w:sectPr>
      </w:pPr>
    </w:p>
    <w:p w14:paraId="37BCC658">
      <w:pPr>
        <w:shd w:val="clear" w:color="auto" w:fill="auto"/>
        <w:spacing w:line="400" w:lineRule="exact"/>
        <w:ind w:firstLine="32"/>
        <w:rPr>
          <w:rFonts w:hint="eastAsia" w:ascii="宋体" w:hAnsi="宋体" w:eastAsia="宋体" w:cs="宋体"/>
          <w:color w:val="000000"/>
          <w:spacing w:val="3"/>
          <w:sz w:val="24"/>
          <w:szCs w:val="24"/>
          <w:highlight w:val="none"/>
        </w:rPr>
      </w:pPr>
    </w:p>
    <w:p w14:paraId="0C422E57">
      <w:pPr>
        <w:shd w:val="clear" w:color="auto" w:fill="auto"/>
        <w:spacing w:line="400" w:lineRule="exact"/>
        <w:ind w:firstLine="32"/>
        <w:rPr>
          <w:rFonts w:hint="eastAsia" w:ascii="宋体" w:hAnsi="宋体" w:eastAsia="宋体" w:cs="宋体"/>
          <w:color w:val="000000"/>
          <w:sz w:val="24"/>
          <w:szCs w:val="24"/>
          <w:highlight w:val="none"/>
        </w:rPr>
      </w:pPr>
      <w:r>
        <w:rPr>
          <w:rFonts w:hint="eastAsia" w:ascii="宋体" w:hAnsi="宋体" w:eastAsia="宋体" w:cs="宋体"/>
          <w:color w:val="000000"/>
          <w:spacing w:val="3"/>
          <w:sz w:val="24"/>
          <w:szCs w:val="24"/>
          <w:highlight w:val="none"/>
        </w:rPr>
        <w:t>甲</w:t>
      </w:r>
      <w:r>
        <w:rPr>
          <w:rFonts w:hint="eastAsia" w:ascii="宋体" w:hAnsi="宋体" w:eastAsia="宋体" w:cs="宋体"/>
          <w:color w:val="000000"/>
          <w:spacing w:val="2"/>
          <w:sz w:val="24"/>
          <w:szCs w:val="24"/>
          <w:highlight w:val="none"/>
        </w:rPr>
        <w:t>方（盖章</w:t>
      </w:r>
      <w:r>
        <w:rPr>
          <w:rFonts w:hint="eastAsia" w:ascii="宋体" w:hAnsi="宋体" w:eastAsia="宋体" w:cs="宋体"/>
          <w:color w:val="000000"/>
          <w:spacing w:val="4"/>
          <w:sz w:val="24"/>
          <w:szCs w:val="24"/>
          <w:highlight w:val="none"/>
        </w:rPr>
        <w:t>）：</w:t>
      </w:r>
    </w:p>
    <w:p w14:paraId="570B3056">
      <w:pPr>
        <w:shd w:val="clear" w:color="auto" w:fill="auto"/>
        <w:spacing w:line="400" w:lineRule="exact"/>
        <w:ind w:firstLine="11"/>
        <w:rPr>
          <w:rFonts w:hint="eastAsia" w:ascii="宋体" w:hAnsi="宋体" w:eastAsia="宋体" w:cs="宋体"/>
          <w:color w:val="000000"/>
          <w:sz w:val="24"/>
          <w:szCs w:val="24"/>
          <w:highlight w:val="none"/>
        </w:rPr>
      </w:pPr>
      <w:r>
        <w:rPr>
          <w:rFonts w:hint="eastAsia" w:ascii="宋体" w:hAnsi="宋体" w:eastAsia="宋体" w:cs="宋体"/>
          <w:color w:val="000000"/>
          <w:spacing w:val="8"/>
          <w:sz w:val="24"/>
          <w:szCs w:val="24"/>
          <w:highlight w:val="none"/>
        </w:rPr>
        <w:t>法定代表人或受委托人（</w:t>
      </w:r>
      <w:r>
        <w:rPr>
          <w:rFonts w:hint="eastAsia" w:ascii="宋体" w:hAnsi="宋体" w:eastAsia="宋体" w:cs="宋体"/>
          <w:color w:val="000000"/>
          <w:spacing w:val="7"/>
          <w:sz w:val="24"/>
          <w:szCs w:val="24"/>
          <w:highlight w:val="none"/>
        </w:rPr>
        <w:t>签字</w:t>
      </w:r>
      <w:r>
        <w:rPr>
          <w:rFonts w:hint="eastAsia" w:ascii="宋体" w:hAnsi="宋体" w:eastAsia="宋体" w:cs="宋体"/>
          <w:color w:val="000000"/>
          <w:spacing w:val="9"/>
          <w:sz w:val="24"/>
          <w:szCs w:val="24"/>
          <w:highlight w:val="none"/>
        </w:rPr>
        <w:t>）：</w:t>
      </w:r>
    </w:p>
    <w:p w14:paraId="6D97F83E">
      <w:pPr>
        <w:shd w:val="clear" w:color="auto" w:fill="auto"/>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column"/>
      </w:r>
    </w:p>
    <w:p w14:paraId="55995FDE">
      <w:pPr>
        <w:shd w:val="clear" w:color="auto" w:fill="auto"/>
        <w:spacing w:line="400" w:lineRule="exact"/>
        <w:ind w:firstLine="8"/>
        <w:rPr>
          <w:rFonts w:hint="eastAsia" w:ascii="宋体" w:hAnsi="宋体" w:eastAsia="宋体" w:cs="宋体"/>
          <w:color w:val="000000"/>
          <w:sz w:val="24"/>
          <w:szCs w:val="24"/>
          <w:highlight w:val="none"/>
        </w:rPr>
      </w:pPr>
      <w:r>
        <w:rPr>
          <w:rFonts w:hint="eastAsia" w:ascii="宋体" w:hAnsi="宋体" w:eastAsia="宋体" w:cs="宋体"/>
          <w:color w:val="000000"/>
          <w:spacing w:val="4"/>
          <w:sz w:val="24"/>
          <w:szCs w:val="24"/>
          <w:highlight w:val="none"/>
        </w:rPr>
        <w:t>乙方（盖章</w:t>
      </w:r>
      <w:r>
        <w:rPr>
          <w:rFonts w:hint="eastAsia" w:ascii="宋体" w:hAnsi="宋体" w:eastAsia="宋体" w:cs="宋体"/>
          <w:color w:val="000000"/>
          <w:spacing w:val="6"/>
          <w:sz w:val="24"/>
          <w:szCs w:val="24"/>
          <w:highlight w:val="none"/>
        </w:rPr>
        <w:t>）：</w:t>
      </w:r>
    </w:p>
    <w:p w14:paraId="3710B659">
      <w:pPr>
        <w:shd w:val="clear" w:color="auto" w:fill="auto"/>
        <w:spacing w:line="400" w:lineRule="exact"/>
        <w:rPr>
          <w:rFonts w:hint="eastAsia" w:ascii="宋体" w:hAnsi="宋体" w:eastAsia="宋体" w:cs="宋体"/>
          <w:color w:val="000000"/>
          <w:spacing w:val="9"/>
          <w:sz w:val="24"/>
          <w:szCs w:val="24"/>
          <w:highlight w:val="none"/>
        </w:rPr>
        <w:sectPr>
          <w:type w:val="continuous"/>
          <w:pgSz w:w="11906" w:h="16838"/>
          <w:pgMar w:top="1440" w:right="1080" w:bottom="1440" w:left="1080" w:header="0" w:footer="714" w:gutter="0"/>
          <w:pgNumType w:fmt="decimal"/>
          <w:cols w:equalWidth="0" w:num="2">
            <w:col w:w="4864" w:space="100"/>
            <w:col w:w="4781"/>
          </w:cols>
          <w:docGrid w:linePitch="286" w:charSpace="0"/>
        </w:sectPr>
      </w:pPr>
      <w:r>
        <w:rPr>
          <w:rFonts w:hint="eastAsia" w:ascii="宋体" w:hAnsi="宋体" w:eastAsia="宋体" w:cs="宋体"/>
          <w:color w:val="000000"/>
          <w:spacing w:val="8"/>
          <w:sz w:val="24"/>
          <w:szCs w:val="24"/>
          <w:highlight w:val="none"/>
        </w:rPr>
        <w:t>法定代表人或受委托人（</w:t>
      </w:r>
      <w:r>
        <w:rPr>
          <w:rFonts w:hint="eastAsia" w:ascii="宋体" w:hAnsi="宋体" w:eastAsia="宋体" w:cs="宋体"/>
          <w:color w:val="000000"/>
          <w:spacing w:val="7"/>
          <w:sz w:val="24"/>
          <w:szCs w:val="24"/>
          <w:highlight w:val="none"/>
        </w:rPr>
        <w:t>签字</w:t>
      </w:r>
      <w:r>
        <w:rPr>
          <w:rFonts w:hint="eastAsia" w:ascii="宋体" w:hAnsi="宋体" w:eastAsia="宋体" w:cs="宋体"/>
          <w:color w:val="000000"/>
          <w:spacing w:val="9"/>
          <w:sz w:val="24"/>
          <w:szCs w:val="24"/>
          <w:highlight w:val="none"/>
        </w:rPr>
        <w:t>）：</w:t>
      </w:r>
    </w:p>
    <w:p w14:paraId="70974231">
      <w:pPr>
        <w:shd w:val="clear" w:color="auto" w:fill="auto"/>
        <w:rPr>
          <w:rFonts w:hint="eastAsia" w:ascii="宋体" w:hAnsi="宋体" w:eastAsia="宋体" w:cs="宋体"/>
          <w:sz w:val="24"/>
          <w:szCs w:val="24"/>
          <w:highlight w:val="none"/>
        </w:rPr>
      </w:pPr>
      <w:r>
        <w:rPr>
          <w:rFonts w:hint="eastAsia" w:ascii="宋体" w:hAnsi="宋体" w:eastAsia="宋体" w:cs="宋体"/>
          <w:sz w:val="24"/>
          <w:szCs w:val="24"/>
          <w:highlight w:val="none"/>
        </w:rPr>
        <w:t>附件二：履约保证金确认书</w:t>
      </w:r>
    </w:p>
    <w:p w14:paraId="36626ED9">
      <w:pPr>
        <w:pStyle w:val="3"/>
        <w:numPr>
          <w:ilvl w:val="1"/>
          <w:numId w:val="0"/>
        </w:numPr>
        <w:shd w:val="clear" w:color="auto" w:fill="auto"/>
        <w:tabs>
          <w:tab w:val="left" w:pos="720"/>
        </w:tabs>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履约保证金确认书</w:t>
      </w:r>
    </w:p>
    <w:p w14:paraId="02123831">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履约保证金缴纳：</w:t>
      </w:r>
    </w:p>
    <w:p w14:paraId="72D63378">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1、缴纳信息：</w:t>
      </w:r>
    </w:p>
    <w:p w14:paraId="1B548F27">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履约保证金金额：人民币整（¥元）（约合同总价的5%）</w:t>
      </w:r>
    </w:p>
    <w:p w14:paraId="6291F616">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履约保证金缴纳形式：支票/汇票/电汇/转账</w:t>
      </w:r>
    </w:p>
    <w:p w14:paraId="2CF99929">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履约保证金缴纳时间：成交通知书领取之后，合同签订之前</w:t>
      </w:r>
    </w:p>
    <w:p w14:paraId="32EA4122">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履约保证金接收人：</w:t>
      </w:r>
      <w:r>
        <w:rPr>
          <w:rFonts w:hint="eastAsia" w:ascii="宋体" w:hAnsi="宋体" w:eastAsia="宋体" w:cs="宋体"/>
          <w:color w:val="000000"/>
          <w:spacing w:val="8"/>
          <w:sz w:val="24"/>
          <w:szCs w:val="24"/>
          <w:highlight w:val="none"/>
          <w:lang w:val="en-US" w:eastAsia="zh-CN"/>
        </w:rPr>
        <w:t>杭州市环境集团有限公司、杭州萧山环城生物能源有限公司、杭州环临环境发展有限公司</w:t>
      </w:r>
    </w:p>
    <w:p w14:paraId="24CCF586">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履约保证金有效期限：履约保证金在合同履行结束</w:t>
      </w:r>
      <w:r>
        <w:rPr>
          <w:rFonts w:hint="eastAsia" w:ascii="宋体" w:hAnsi="宋体" w:eastAsia="宋体" w:cs="宋体"/>
          <w:color w:val="000000"/>
          <w:spacing w:val="8"/>
          <w:sz w:val="24"/>
          <w:szCs w:val="24"/>
          <w:highlight w:val="none"/>
          <w:lang w:val="en-US" w:eastAsia="zh-CN"/>
        </w:rPr>
        <w:t>且质保期限届满，</w:t>
      </w:r>
      <w:r>
        <w:rPr>
          <w:rFonts w:hint="eastAsia" w:ascii="宋体" w:hAnsi="宋体" w:eastAsia="宋体" w:cs="宋体"/>
          <w:color w:val="000000"/>
          <w:spacing w:val="8"/>
          <w:sz w:val="24"/>
          <w:szCs w:val="24"/>
          <w:highlight w:val="none"/>
        </w:rPr>
        <w:t>并扣除乙方违约金额（如有），经乙方申请后1个月内无息退还余额，但发生本合同约定的甲方有权不予退还履约保证金的情形除外。</w:t>
      </w:r>
    </w:p>
    <w:p w14:paraId="4415B236">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2、打款账户信息如下：</w:t>
      </w:r>
    </w:p>
    <w:p w14:paraId="415CF206">
      <w:pPr>
        <w:shd w:val="clear" w:color="auto" w:fill="auto"/>
        <w:spacing w:line="400" w:lineRule="exact"/>
        <w:ind w:left="3" w:right="24" w:firstLine="496" w:firstLineChars="200"/>
        <w:rPr>
          <w:rFonts w:hint="default" w:ascii="宋体" w:hAnsi="宋体" w:eastAsia="宋体" w:cs="宋体"/>
          <w:color w:val="000000"/>
          <w:spacing w:val="8"/>
          <w:sz w:val="24"/>
          <w:szCs w:val="24"/>
          <w:highlight w:val="none"/>
          <w:u w:val="single"/>
          <w:lang w:val="en-US" w:eastAsia="zh-CN"/>
        </w:rPr>
      </w:pPr>
      <w:r>
        <w:rPr>
          <w:rFonts w:hint="eastAsia" w:ascii="宋体" w:hAnsi="宋体" w:eastAsia="宋体" w:cs="宋体"/>
          <w:color w:val="000000"/>
          <w:spacing w:val="8"/>
          <w:sz w:val="24"/>
          <w:szCs w:val="24"/>
          <w:highlight w:val="none"/>
        </w:rPr>
        <w:t>收款单位（户名）：</w:t>
      </w:r>
      <w:r>
        <w:rPr>
          <w:rFonts w:hint="eastAsia" w:ascii="宋体" w:hAnsi="宋体" w:eastAsia="宋体" w:cs="宋体"/>
          <w:color w:val="000000"/>
          <w:spacing w:val="8"/>
          <w:sz w:val="24"/>
          <w:szCs w:val="24"/>
          <w:highlight w:val="none"/>
          <w:u w:val="single"/>
          <w:lang w:val="en-US" w:eastAsia="zh-CN"/>
        </w:rPr>
        <w:t xml:space="preserve">             </w:t>
      </w:r>
    </w:p>
    <w:p w14:paraId="75A56B27">
      <w:pPr>
        <w:shd w:val="clear" w:color="auto" w:fill="auto"/>
        <w:spacing w:line="400" w:lineRule="exact"/>
        <w:ind w:left="3" w:right="24" w:firstLine="496" w:firstLineChars="200"/>
        <w:rPr>
          <w:rFonts w:hint="default" w:ascii="宋体" w:hAnsi="宋体" w:eastAsia="宋体" w:cs="宋体"/>
          <w:color w:val="000000"/>
          <w:spacing w:val="8"/>
          <w:sz w:val="24"/>
          <w:szCs w:val="24"/>
          <w:highlight w:val="none"/>
          <w:u w:val="single"/>
          <w:lang w:val="en-US" w:eastAsia="zh-CN"/>
        </w:rPr>
      </w:pPr>
      <w:r>
        <w:rPr>
          <w:rFonts w:hint="eastAsia" w:ascii="宋体" w:hAnsi="宋体" w:eastAsia="宋体" w:cs="宋体"/>
          <w:color w:val="000000"/>
          <w:spacing w:val="8"/>
          <w:sz w:val="24"/>
          <w:szCs w:val="24"/>
          <w:highlight w:val="none"/>
        </w:rPr>
        <w:t>账号：</w:t>
      </w:r>
      <w:r>
        <w:rPr>
          <w:rFonts w:hint="eastAsia" w:ascii="宋体" w:hAnsi="宋体" w:eastAsia="宋体" w:cs="宋体"/>
          <w:color w:val="000000"/>
          <w:spacing w:val="8"/>
          <w:sz w:val="24"/>
          <w:szCs w:val="24"/>
          <w:highlight w:val="none"/>
          <w:u w:val="single"/>
          <w:lang w:val="en-US" w:eastAsia="zh-CN"/>
        </w:rPr>
        <w:t xml:space="preserve">                    </w:t>
      </w:r>
    </w:p>
    <w:p w14:paraId="5D779E3F">
      <w:pPr>
        <w:shd w:val="clear" w:color="auto" w:fill="auto"/>
        <w:spacing w:line="400" w:lineRule="exact"/>
        <w:ind w:left="3" w:right="24" w:firstLine="496" w:firstLineChars="200"/>
        <w:rPr>
          <w:rFonts w:hint="default" w:ascii="宋体" w:hAnsi="宋体" w:eastAsia="宋体" w:cs="宋体"/>
          <w:color w:val="000000"/>
          <w:spacing w:val="8"/>
          <w:sz w:val="24"/>
          <w:szCs w:val="24"/>
          <w:highlight w:val="none"/>
          <w:lang w:val="en-US" w:eastAsia="zh-CN"/>
        </w:rPr>
      </w:pPr>
      <w:r>
        <w:rPr>
          <w:rFonts w:hint="eastAsia" w:ascii="宋体" w:hAnsi="宋体" w:eastAsia="宋体" w:cs="宋体"/>
          <w:color w:val="000000"/>
          <w:spacing w:val="8"/>
          <w:sz w:val="24"/>
          <w:szCs w:val="24"/>
          <w:highlight w:val="none"/>
        </w:rPr>
        <w:t>开户行：</w:t>
      </w:r>
      <w:r>
        <w:rPr>
          <w:rFonts w:hint="eastAsia" w:ascii="宋体" w:hAnsi="宋体" w:eastAsia="宋体" w:cs="宋体"/>
          <w:color w:val="000000"/>
          <w:spacing w:val="8"/>
          <w:sz w:val="24"/>
          <w:szCs w:val="24"/>
          <w:highlight w:val="none"/>
          <w:u w:val="single"/>
          <w:lang w:val="en-US" w:eastAsia="zh-CN"/>
        </w:rPr>
        <w:t xml:space="preserve">                  </w:t>
      </w:r>
      <w:r>
        <w:rPr>
          <w:rFonts w:hint="eastAsia" w:ascii="宋体" w:hAnsi="宋体" w:eastAsia="宋体" w:cs="宋体"/>
          <w:color w:val="000000"/>
          <w:spacing w:val="8"/>
          <w:sz w:val="24"/>
          <w:szCs w:val="24"/>
          <w:highlight w:val="none"/>
          <w:lang w:val="en-US" w:eastAsia="zh-CN"/>
        </w:rPr>
        <w:t xml:space="preserve">  </w:t>
      </w:r>
    </w:p>
    <w:p w14:paraId="46B8141A">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p>
    <w:p w14:paraId="2AA1193F">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3、其他说明：</w:t>
      </w:r>
    </w:p>
    <w:p w14:paraId="73682F2B">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转账或汇票形式的，乙方在履约保证金缴纳时必须注明项目名称和采购项目编号。</w:t>
      </w:r>
    </w:p>
    <w:p w14:paraId="7FC0490D">
      <w:pPr>
        <w:shd w:val="clear" w:color="auto" w:fill="auto"/>
        <w:spacing w:line="400" w:lineRule="exact"/>
        <w:ind w:left="3" w:right="24" w:firstLine="496" w:firstLineChars="200"/>
        <w:rPr>
          <w:rFonts w:hint="eastAsia" w:ascii="宋体" w:hAnsi="宋体" w:eastAsia="宋体" w:cs="宋体"/>
          <w:color w:val="000000"/>
          <w:spacing w:val="8"/>
          <w:sz w:val="24"/>
          <w:szCs w:val="24"/>
          <w:highlight w:val="none"/>
        </w:rPr>
      </w:pPr>
      <w:r>
        <w:rPr>
          <w:rFonts w:hint="eastAsia" w:ascii="宋体" w:hAnsi="宋体" w:eastAsia="宋体" w:cs="宋体"/>
          <w:color w:val="000000"/>
          <w:spacing w:val="8"/>
          <w:sz w:val="24"/>
          <w:szCs w:val="24"/>
          <w:highlight w:val="none"/>
        </w:rPr>
        <w:t>乙方应将履约保证金的汇款或转账凭证在合同签订前提交甲方。如超出期限未缴纳的，甲方将视其拒绝履行投标承诺，甲方有权单方取消其中标资格，并罚没其投标保证金。甲方还有权将其列入供应商不良行为记录名单，被列入名单后，取消其两年内在甲方及甲方分子公司及其他关联方组织的任何招标或采购中的供应商资格。</w:t>
      </w:r>
    </w:p>
    <w:sectPr>
      <w:headerReference r:id="rId9" w:type="default"/>
      <w:footerReference r:id="rId11" w:type="default"/>
      <w:headerReference r:id="rId10" w:type="even"/>
      <w:footerReference r:id="rId12" w:type="even"/>
      <w:pgSz w:w="11906" w:h="16838"/>
      <w:pgMar w:top="2098" w:right="1474" w:bottom="1985" w:left="1588" w:header="851" w:footer="737" w:gutter="0"/>
      <w:pgNumType w:fmt="decimal"/>
      <w:cols w:space="720"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昆仑楷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420E">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C78A8">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2C78A8">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E0305">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99DD6">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399DD6">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04AF9">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51D92">
                          <w:pPr>
                            <w:pStyle w:val="1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551D92">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84D4D">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E07E4">
                          <w:pPr>
                            <w:pStyle w:val="1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4CE07E4">
                    <w:pPr>
                      <w:pStyle w:val="1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4ADC">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332F">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412A">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F5297">
    <w:pPr>
      <w:pStyle w:val="15"/>
    </w:pPr>
    <w:r>
      <w:pict>
        <v:shape id="PowerPlusWaterMarkObject639917468" o:spid="_x0000_s3073" o:spt="136" type="#_x0000_t136" style="position:absolute;left:0pt;height:171.75pt;width:515.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A8A03">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CB6E7">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4B810"/>
    <w:multiLevelType w:val="singleLevel"/>
    <w:tmpl w:val="B5B4B810"/>
    <w:lvl w:ilvl="0" w:tentative="0">
      <w:start w:val="1"/>
      <w:numFmt w:val="decimal"/>
      <w:suff w:val="nothing"/>
      <w:lvlText w:val="%1、"/>
      <w:lvlJc w:val="left"/>
    </w:lvl>
  </w:abstractNum>
  <w:abstractNum w:abstractNumId="1">
    <w:nsid w:val="C25247A6"/>
    <w:multiLevelType w:val="singleLevel"/>
    <w:tmpl w:val="C25247A6"/>
    <w:lvl w:ilvl="0" w:tentative="0">
      <w:start w:val="6"/>
      <w:numFmt w:val="chineseCounting"/>
      <w:suff w:val="nothing"/>
      <w:lvlText w:val="%1、"/>
      <w:lvlJc w:val="left"/>
      <w:rPr>
        <w:rFonts w:hint="eastAsia"/>
      </w:rPr>
    </w:lvl>
  </w:abstractNum>
  <w:abstractNum w:abstractNumId="2">
    <w:nsid w:val="CAF73F51"/>
    <w:multiLevelType w:val="singleLevel"/>
    <w:tmpl w:val="CAF73F51"/>
    <w:lvl w:ilvl="0" w:tentative="0">
      <w:start w:val="1"/>
      <w:numFmt w:val="decimal"/>
      <w:suff w:val="nothing"/>
      <w:lvlText w:val="（%1）"/>
      <w:lvlJc w:val="left"/>
    </w:lvl>
  </w:abstractNum>
  <w:abstractNum w:abstractNumId="3">
    <w:nsid w:val="F5D8789E"/>
    <w:multiLevelType w:val="singleLevel"/>
    <w:tmpl w:val="F5D8789E"/>
    <w:lvl w:ilvl="0" w:tentative="0">
      <w:start w:val="1"/>
      <w:numFmt w:val="decimal"/>
      <w:lvlText w:val="%1."/>
      <w:lvlJc w:val="left"/>
      <w:pPr>
        <w:tabs>
          <w:tab w:val="left" w:pos="312"/>
        </w:tabs>
      </w:pPr>
    </w:lvl>
  </w:abstractNum>
  <w:abstractNum w:abstractNumId="4">
    <w:nsid w:val="F64E92BF"/>
    <w:multiLevelType w:val="singleLevel"/>
    <w:tmpl w:val="F64E92BF"/>
    <w:lvl w:ilvl="0" w:tentative="0">
      <w:start w:val="3"/>
      <w:numFmt w:val="decimal"/>
      <w:suff w:val="nothing"/>
      <w:lvlText w:val="（%1）"/>
      <w:lvlJc w:val="left"/>
    </w:lvl>
  </w:abstractNum>
  <w:abstractNum w:abstractNumId="5">
    <w:nsid w:val="3155BD98"/>
    <w:multiLevelType w:val="singleLevel"/>
    <w:tmpl w:val="3155BD98"/>
    <w:lvl w:ilvl="0" w:tentative="0">
      <w:start w:val="4"/>
      <w:numFmt w:val="chineseCounting"/>
      <w:suff w:val="nothing"/>
      <w:lvlText w:val="%1、"/>
      <w:lvlJc w:val="left"/>
      <w:rPr>
        <w:rFonts w:hint="eastAsia"/>
      </w:rPr>
    </w:lvl>
  </w:abstractNum>
  <w:abstractNum w:abstractNumId="6">
    <w:nsid w:val="456B0C3D"/>
    <w:multiLevelType w:val="singleLevel"/>
    <w:tmpl w:val="456B0C3D"/>
    <w:lvl w:ilvl="0" w:tentative="0">
      <w:start w:val="3"/>
      <w:numFmt w:val="chineseCounting"/>
      <w:suff w:val="space"/>
      <w:lvlText w:val="第%1章"/>
      <w:lvlJc w:val="left"/>
      <w:rPr>
        <w:rFonts w:hint="eastAsia"/>
      </w:rPr>
    </w:lvl>
  </w:abstractNum>
  <w:abstractNum w:abstractNumId="7">
    <w:nsid w:val="5B3A12A0"/>
    <w:multiLevelType w:val="multilevel"/>
    <w:tmpl w:val="5B3A12A0"/>
    <w:lvl w:ilvl="0" w:tentative="0">
      <w:start w:val="1"/>
      <w:numFmt w:val="decimal"/>
      <w:lvlText w:val="(%1)"/>
      <w:lvlJc w:val="left"/>
      <w:pPr>
        <w:tabs>
          <w:tab w:val="left" w:pos="-840"/>
        </w:tabs>
        <w:ind w:left="1050" w:hanging="420"/>
      </w:pPr>
      <w:rPr>
        <w:rFonts w:hint="default"/>
      </w:rPr>
    </w:lvl>
    <w:lvl w:ilvl="1" w:tentative="0">
      <w:start w:val="1"/>
      <w:numFmt w:val="decimal"/>
      <w:lvlText w:val="%2."/>
      <w:lvlJc w:val="left"/>
      <w:pPr>
        <w:tabs>
          <w:tab w:val="left" w:pos="-840"/>
        </w:tabs>
        <w:ind w:left="735" w:hanging="525"/>
      </w:pPr>
      <w:rPr>
        <w:rFonts w:hint="default"/>
      </w:rPr>
    </w:lvl>
    <w:lvl w:ilvl="2" w:tentative="0">
      <w:start w:val="1"/>
      <w:numFmt w:val="decimal"/>
      <w:lvlText w:val="%3)"/>
      <w:lvlJc w:val="left"/>
      <w:pPr>
        <w:tabs>
          <w:tab w:val="left" w:pos="-840"/>
        </w:tabs>
        <w:ind w:left="1050" w:hanging="420"/>
      </w:pPr>
      <w:rPr>
        <w:rFonts w:hint="default"/>
      </w:rPr>
    </w:lvl>
    <w:lvl w:ilvl="3" w:tentative="0">
      <w:start w:val="1"/>
      <w:numFmt w:val="decimal"/>
      <w:lvlText w:val="%4."/>
      <w:lvlJc w:val="left"/>
      <w:pPr>
        <w:tabs>
          <w:tab w:val="left" w:pos="-840"/>
        </w:tabs>
        <w:ind w:left="1470" w:hanging="420"/>
      </w:pPr>
    </w:lvl>
    <w:lvl w:ilvl="4" w:tentative="0">
      <w:start w:val="1"/>
      <w:numFmt w:val="lowerLetter"/>
      <w:lvlText w:val="%5)"/>
      <w:lvlJc w:val="left"/>
      <w:pPr>
        <w:tabs>
          <w:tab w:val="left" w:pos="-840"/>
        </w:tabs>
        <w:ind w:left="1890" w:hanging="420"/>
      </w:pPr>
    </w:lvl>
    <w:lvl w:ilvl="5" w:tentative="0">
      <w:start w:val="1"/>
      <w:numFmt w:val="lowerRoman"/>
      <w:lvlText w:val="%6."/>
      <w:lvlJc w:val="right"/>
      <w:pPr>
        <w:tabs>
          <w:tab w:val="left" w:pos="-840"/>
        </w:tabs>
        <w:ind w:left="2310" w:hanging="420"/>
      </w:pPr>
    </w:lvl>
    <w:lvl w:ilvl="6" w:tentative="0">
      <w:start w:val="1"/>
      <w:numFmt w:val="decimal"/>
      <w:lvlText w:val="%7."/>
      <w:lvlJc w:val="left"/>
      <w:pPr>
        <w:tabs>
          <w:tab w:val="left" w:pos="-840"/>
        </w:tabs>
        <w:ind w:left="2730" w:hanging="420"/>
      </w:pPr>
    </w:lvl>
    <w:lvl w:ilvl="7" w:tentative="0">
      <w:start w:val="1"/>
      <w:numFmt w:val="lowerLetter"/>
      <w:lvlText w:val="%8)"/>
      <w:lvlJc w:val="left"/>
      <w:pPr>
        <w:tabs>
          <w:tab w:val="left" w:pos="-840"/>
        </w:tabs>
        <w:ind w:left="3150" w:hanging="420"/>
      </w:pPr>
    </w:lvl>
    <w:lvl w:ilvl="8" w:tentative="0">
      <w:start w:val="1"/>
      <w:numFmt w:val="lowerRoman"/>
      <w:lvlText w:val="%9."/>
      <w:lvlJc w:val="right"/>
      <w:pPr>
        <w:tabs>
          <w:tab w:val="left" w:pos="-840"/>
        </w:tabs>
        <w:ind w:left="3570" w:hanging="420"/>
      </w:pPr>
    </w:lvl>
  </w:abstractNum>
  <w:abstractNum w:abstractNumId="8">
    <w:nsid w:val="6116CD25"/>
    <w:multiLevelType w:val="singleLevel"/>
    <w:tmpl w:val="6116CD25"/>
    <w:lvl w:ilvl="0" w:tentative="0">
      <w:start w:val="1"/>
      <w:numFmt w:val="decimal"/>
      <w:suff w:val="nothing"/>
      <w:lvlText w:val="%1、"/>
      <w:lvlJc w:val="left"/>
    </w:lvl>
  </w:abstractNum>
  <w:num w:numId="1">
    <w:abstractNumId w:val="4"/>
  </w:num>
  <w:num w:numId="2">
    <w:abstractNumId w:val="2"/>
  </w:num>
  <w:num w:numId="3">
    <w:abstractNumId w:val="7"/>
  </w:num>
  <w:num w:numId="4">
    <w:abstractNumId w:val="6"/>
  </w:num>
  <w:num w:numId="5">
    <w:abstractNumId w:val="8"/>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1"/>
  <w:evenAndOddHeaders w:val="1"/>
  <w:drawingGridHorizontalSpacing w:val="156"/>
  <w:drawingGridVerticalSpacing w:val="57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iMDQwZjk1MTY5MTVlMzliY2I0N2JlNzBhMDFmM2MifQ=="/>
  </w:docVars>
  <w:rsids>
    <w:rsidRoot w:val="00BF63BC"/>
    <w:rsid w:val="00026716"/>
    <w:rsid w:val="00072C1B"/>
    <w:rsid w:val="000F5FD6"/>
    <w:rsid w:val="0012728D"/>
    <w:rsid w:val="001C5666"/>
    <w:rsid w:val="002143A9"/>
    <w:rsid w:val="002369F3"/>
    <w:rsid w:val="002457D8"/>
    <w:rsid w:val="0024627A"/>
    <w:rsid w:val="002A1F6A"/>
    <w:rsid w:val="002F7EAD"/>
    <w:rsid w:val="00322A80"/>
    <w:rsid w:val="00323009"/>
    <w:rsid w:val="00346EEE"/>
    <w:rsid w:val="00380781"/>
    <w:rsid w:val="00392EA2"/>
    <w:rsid w:val="003C0E87"/>
    <w:rsid w:val="003E52C4"/>
    <w:rsid w:val="003F5F2A"/>
    <w:rsid w:val="00473AA8"/>
    <w:rsid w:val="00486EBC"/>
    <w:rsid w:val="004875AF"/>
    <w:rsid w:val="0049353B"/>
    <w:rsid w:val="004F1AC5"/>
    <w:rsid w:val="00580F75"/>
    <w:rsid w:val="00594640"/>
    <w:rsid w:val="00651495"/>
    <w:rsid w:val="0066604A"/>
    <w:rsid w:val="00704578"/>
    <w:rsid w:val="007A17FD"/>
    <w:rsid w:val="007A66E4"/>
    <w:rsid w:val="008300B4"/>
    <w:rsid w:val="00862A72"/>
    <w:rsid w:val="0086344A"/>
    <w:rsid w:val="008A18D0"/>
    <w:rsid w:val="008C172E"/>
    <w:rsid w:val="00910A10"/>
    <w:rsid w:val="00957AD2"/>
    <w:rsid w:val="00962C69"/>
    <w:rsid w:val="00973FB8"/>
    <w:rsid w:val="00A42871"/>
    <w:rsid w:val="00A465AA"/>
    <w:rsid w:val="00A91512"/>
    <w:rsid w:val="00A91CE9"/>
    <w:rsid w:val="00A97848"/>
    <w:rsid w:val="00AE30B0"/>
    <w:rsid w:val="00AE34A7"/>
    <w:rsid w:val="00B77869"/>
    <w:rsid w:val="00BF63BC"/>
    <w:rsid w:val="00C07BCE"/>
    <w:rsid w:val="00C1328C"/>
    <w:rsid w:val="00C3520F"/>
    <w:rsid w:val="00C41AAF"/>
    <w:rsid w:val="00C92139"/>
    <w:rsid w:val="00D005A8"/>
    <w:rsid w:val="00D26D7C"/>
    <w:rsid w:val="00DC19CB"/>
    <w:rsid w:val="00DC239E"/>
    <w:rsid w:val="00DC4986"/>
    <w:rsid w:val="00DD0B8F"/>
    <w:rsid w:val="00DD4FDE"/>
    <w:rsid w:val="00DF477A"/>
    <w:rsid w:val="00E45C9B"/>
    <w:rsid w:val="00E65882"/>
    <w:rsid w:val="00E7089A"/>
    <w:rsid w:val="00EC5C1A"/>
    <w:rsid w:val="00F43C49"/>
    <w:rsid w:val="00F844E0"/>
    <w:rsid w:val="00F92C9A"/>
    <w:rsid w:val="00F97F58"/>
    <w:rsid w:val="01011432"/>
    <w:rsid w:val="010333FC"/>
    <w:rsid w:val="01133309"/>
    <w:rsid w:val="013C690E"/>
    <w:rsid w:val="01435207"/>
    <w:rsid w:val="014F219D"/>
    <w:rsid w:val="0151367A"/>
    <w:rsid w:val="015B3B47"/>
    <w:rsid w:val="01695955"/>
    <w:rsid w:val="0183453D"/>
    <w:rsid w:val="01AD38E7"/>
    <w:rsid w:val="01C25065"/>
    <w:rsid w:val="01F82728"/>
    <w:rsid w:val="023D293E"/>
    <w:rsid w:val="029063B7"/>
    <w:rsid w:val="02924A37"/>
    <w:rsid w:val="02F2197A"/>
    <w:rsid w:val="02F30994"/>
    <w:rsid w:val="03184FDD"/>
    <w:rsid w:val="03547FA2"/>
    <w:rsid w:val="035D6DC5"/>
    <w:rsid w:val="03973673"/>
    <w:rsid w:val="03DA48E8"/>
    <w:rsid w:val="03DB240E"/>
    <w:rsid w:val="03E5503B"/>
    <w:rsid w:val="04247911"/>
    <w:rsid w:val="044B7594"/>
    <w:rsid w:val="045A1585"/>
    <w:rsid w:val="04847E57"/>
    <w:rsid w:val="04B213C1"/>
    <w:rsid w:val="04BD7F36"/>
    <w:rsid w:val="057E74F5"/>
    <w:rsid w:val="05A21435"/>
    <w:rsid w:val="05AE0A08"/>
    <w:rsid w:val="05C3315A"/>
    <w:rsid w:val="060F2843"/>
    <w:rsid w:val="062005AC"/>
    <w:rsid w:val="06532730"/>
    <w:rsid w:val="06565D7C"/>
    <w:rsid w:val="06615D22"/>
    <w:rsid w:val="06622973"/>
    <w:rsid w:val="06A95558"/>
    <w:rsid w:val="06DA69AD"/>
    <w:rsid w:val="06E67100"/>
    <w:rsid w:val="06E93094"/>
    <w:rsid w:val="07500A1D"/>
    <w:rsid w:val="07737AF6"/>
    <w:rsid w:val="07990616"/>
    <w:rsid w:val="07A86AAB"/>
    <w:rsid w:val="07B755EE"/>
    <w:rsid w:val="07BC2556"/>
    <w:rsid w:val="07C17B6D"/>
    <w:rsid w:val="07C5765D"/>
    <w:rsid w:val="07C75183"/>
    <w:rsid w:val="07CD6512"/>
    <w:rsid w:val="084C7436"/>
    <w:rsid w:val="084D31AF"/>
    <w:rsid w:val="086E1AA3"/>
    <w:rsid w:val="08CA35E8"/>
    <w:rsid w:val="08CE2541"/>
    <w:rsid w:val="08F655F4"/>
    <w:rsid w:val="0902007F"/>
    <w:rsid w:val="092108C3"/>
    <w:rsid w:val="095B2A75"/>
    <w:rsid w:val="096B3734"/>
    <w:rsid w:val="09B5725D"/>
    <w:rsid w:val="09D973F0"/>
    <w:rsid w:val="09E11EC2"/>
    <w:rsid w:val="0A03446D"/>
    <w:rsid w:val="0A314B36"/>
    <w:rsid w:val="0A430D0D"/>
    <w:rsid w:val="0A4A139D"/>
    <w:rsid w:val="0A4C3DCA"/>
    <w:rsid w:val="0A530F50"/>
    <w:rsid w:val="0A621193"/>
    <w:rsid w:val="0A7B0DB9"/>
    <w:rsid w:val="0AF47ED3"/>
    <w:rsid w:val="0B420FC5"/>
    <w:rsid w:val="0B4D1E43"/>
    <w:rsid w:val="0B6B4077"/>
    <w:rsid w:val="0B957346"/>
    <w:rsid w:val="0C50326D"/>
    <w:rsid w:val="0C525774"/>
    <w:rsid w:val="0C605BA6"/>
    <w:rsid w:val="0C6D0CE9"/>
    <w:rsid w:val="0C801DA5"/>
    <w:rsid w:val="0CF167FE"/>
    <w:rsid w:val="0CF956B3"/>
    <w:rsid w:val="0D166265"/>
    <w:rsid w:val="0D240982"/>
    <w:rsid w:val="0D4D5F76"/>
    <w:rsid w:val="0D782A7C"/>
    <w:rsid w:val="0D7D4536"/>
    <w:rsid w:val="0D8E6743"/>
    <w:rsid w:val="0DBF06AB"/>
    <w:rsid w:val="0DC47726"/>
    <w:rsid w:val="0DF932B5"/>
    <w:rsid w:val="0E305AE1"/>
    <w:rsid w:val="0E3133BA"/>
    <w:rsid w:val="0E35096D"/>
    <w:rsid w:val="0E7E0566"/>
    <w:rsid w:val="0EE3661B"/>
    <w:rsid w:val="0EF96AB4"/>
    <w:rsid w:val="0EFB5712"/>
    <w:rsid w:val="0F2509E1"/>
    <w:rsid w:val="0F4C5F6E"/>
    <w:rsid w:val="0F6C2202"/>
    <w:rsid w:val="0FB56209"/>
    <w:rsid w:val="0FC85F3C"/>
    <w:rsid w:val="107C2883"/>
    <w:rsid w:val="109202F8"/>
    <w:rsid w:val="10DB7788"/>
    <w:rsid w:val="10DD5A17"/>
    <w:rsid w:val="10F863AD"/>
    <w:rsid w:val="110A60E1"/>
    <w:rsid w:val="112A22DF"/>
    <w:rsid w:val="112C24FB"/>
    <w:rsid w:val="11333889"/>
    <w:rsid w:val="114F1D45"/>
    <w:rsid w:val="120066AC"/>
    <w:rsid w:val="122D2087"/>
    <w:rsid w:val="12307DC9"/>
    <w:rsid w:val="12502219"/>
    <w:rsid w:val="129F0AAB"/>
    <w:rsid w:val="12CF3E25"/>
    <w:rsid w:val="12F157AA"/>
    <w:rsid w:val="12FC5EFD"/>
    <w:rsid w:val="131E713A"/>
    <w:rsid w:val="1324792E"/>
    <w:rsid w:val="13541895"/>
    <w:rsid w:val="135628BD"/>
    <w:rsid w:val="138228A6"/>
    <w:rsid w:val="13A75E69"/>
    <w:rsid w:val="13B66D6C"/>
    <w:rsid w:val="14333422"/>
    <w:rsid w:val="14537127"/>
    <w:rsid w:val="148443FC"/>
    <w:rsid w:val="148F527B"/>
    <w:rsid w:val="149C34F4"/>
    <w:rsid w:val="14D709D0"/>
    <w:rsid w:val="151C4634"/>
    <w:rsid w:val="15A22D8C"/>
    <w:rsid w:val="15C26F8A"/>
    <w:rsid w:val="15F2203F"/>
    <w:rsid w:val="162C6AF9"/>
    <w:rsid w:val="16421E79"/>
    <w:rsid w:val="168B3820"/>
    <w:rsid w:val="16C9740F"/>
    <w:rsid w:val="170D692B"/>
    <w:rsid w:val="17186A06"/>
    <w:rsid w:val="17214ABE"/>
    <w:rsid w:val="1753000C"/>
    <w:rsid w:val="17732C32"/>
    <w:rsid w:val="177639A3"/>
    <w:rsid w:val="1791130A"/>
    <w:rsid w:val="17C57205"/>
    <w:rsid w:val="17F453F5"/>
    <w:rsid w:val="18267CA4"/>
    <w:rsid w:val="183B3024"/>
    <w:rsid w:val="18881EE7"/>
    <w:rsid w:val="18AB1F57"/>
    <w:rsid w:val="18B52DD6"/>
    <w:rsid w:val="18E90CD1"/>
    <w:rsid w:val="18ED0069"/>
    <w:rsid w:val="18F85C80"/>
    <w:rsid w:val="19151AC7"/>
    <w:rsid w:val="192F2B88"/>
    <w:rsid w:val="195E34D2"/>
    <w:rsid w:val="19742C91"/>
    <w:rsid w:val="198804EA"/>
    <w:rsid w:val="19CF5FFD"/>
    <w:rsid w:val="1A000561"/>
    <w:rsid w:val="1A163D48"/>
    <w:rsid w:val="1A2B3D03"/>
    <w:rsid w:val="1A404921"/>
    <w:rsid w:val="1A5D54D3"/>
    <w:rsid w:val="1A670100"/>
    <w:rsid w:val="1A6D6D72"/>
    <w:rsid w:val="1A877678"/>
    <w:rsid w:val="1AB1581F"/>
    <w:rsid w:val="1AB45FDC"/>
    <w:rsid w:val="1AD05CA5"/>
    <w:rsid w:val="1B0D6EF9"/>
    <w:rsid w:val="1B1A1616"/>
    <w:rsid w:val="1B32070E"/>
    <w:rsid w:val="1B356450"/>
    <w:rsid w:val="1B604B2D"/>
    <w:rsid w:val="1B723200"/>
    <w:rsid w:val="1B8F790E"/>
    <w:rsid w:val="1BB9498B"/>
    <w:rsid w:val="1BCB46BE"/>
    <w:rsid w:val="1BD16179"/>
    <w:rsid w:val="1BE7774A"/>
    <w:rsid w:val="1BF8447F"/>
    <w:rsid w:val="1C016B46"/>
    <w:rsid w:val="1C0320AA"/>
    <w:rsid w:val="1C4F0E07"/>
    <w:rsid w:val="1C7F3E27"/>
    <w:rsid w:val="1C80194D"/>
    <w:rsid w:val="1C973229"/>
    <w:rsid w:val="1CBD494F"/>
    <w:rsid w:val="1CDA72AF"/>
    <w:rsid w:val="1D532BBD"/>
    <w:rsid w:val="1D631052"/>
    <w:rsid w:val="1EC00D2B"/>
    <w:rsid w:val="1F4C5B16"/>
    <w:rsid w:val="1F647304"/>
    <w:rsid w:val="1FBC4A4A"/>
    <w:rsid w:val="1FC35F1F"/>
    <w:rsid w:val="1FD2426D"/>
    <w:rsid w:val="1FF460D9"/>
    <w:rsid w:val="208C08C0"/>
    <w:rsid w:val="20A57BD4"/>
    <w:rsid w:val="20B8306E"/>
    <w:rsid w:val="20C22534"/>
    <w:rsid w:val="20CE4D59"/>
    <w:rsid w:val="20EE7DD6"/>
    <w:rsid w:val="20FC3C98"/>
    <w:rsid w:val="211F496C"/>
    <w:rsid w:val="213A12A9"/>
    <w:rsid w:val="213E563D"/>
    <w:rsid w:val="216361B0"/>
    <w:rsid w:val="222351AC"/>
    <w:rsid w:val="22431452"/>
    <w:rsid w:val="226C3237"/>
    <w:rsid w:val="228D26CE"/>
    <w:rsid w:val="228E4DC3"/>
    <w:rsid w:val="229121BE"/>
    <w:rsid w:val="22B63379"/>
    <w:rsid w:val="22B83BEE"/>
    <w:rsid w:val="22CA1B74"/>
    <w:rsid w:val="22EE13BE"/>
    <w:rsid w:val="2307710F"/>
    <w:rsid w:val="230E380E"/>
    <w:rsid w:val="23465B2A"/>
    <w:rsid w:val="23566F63"/>
    <w:rsid w:val="23C95987"/>
    <w:rsid w:val="23EB3B50"/>
    <w:rsid w:val="24540077"/>
    <w:rsid w:val="245A7045"/>
    <w:rsid w:val="248D4C07"/>
    <w:rsid w:val="24997A50"/>
    <w:rsid w:val="249B7324"/>
    <w:rsid w:val="251D41DD"/>
    <w:rsid w:val="251E1D03"/>
    <w:rsid w:val="25493224"/>
    <w:rsid w:val="256F255E"/>
    <w:rsid w:val="25E17DC7"/>
    <w:rsid w:val="261A696E"/>
    <w:rsid w:val="26323CB8"/>
    <w:rsid w:val="26900B55"/>
    <w:rsid w:val="26A61FB0"/>
    <w:rsid w:val="26CF1507"/>
    <w:rsid w:val="270C62B7"/>
    <w:rsid w:val="275B0FEC"/>
    <w:rsid w:val="277B67FF"/>
    <w:rsid w:val="279067B0"/>
    <w:rsid w:val="27D03788"/>
    <w:rsid w:val="27DA0163"/>
    <w:rsid w:val="27EE3C0E"/>
    <w:rsid w:val="283F26BC"/>
    <w:rsid w:val="28667C49"/>
    <w:rsid w:val="286D0FD7"/>
    <w:rsid w:val="287F0D0A"/>
    <w:rsid w:val="28812CD5"/>
    <w:rsid w:val="288822B5"/>
    <w:rsid w:val="28A432C9"/>
    <w:rsid w:val="29086F3D"/>
    <w:rsid w:val="2927562A"/>
    <w:rsid w:val="292D4474"/>
    <w:rsid w:val="2938121A"/>
    <w:rsid w:val="2939535D"/>
    <w:rsid w:val="29453D02"/>
    <w:rsid w:val="296028EA"/>
    <w:rsid w:val="2A076A4A"/>
    <w:rsid w:val="2A3C6EB3"/>
    <w:rsid w:val="2A8F792B"/>
    <w:rsid w:val="2A975A26"/>
    <w:rsid w:val="2ACD2201"/>
    <w:rsid w:val="2AED63FF"/>
    <w:rsid w:val="2B285689"/>
    <w:rsid w:val="2B2E5964"/>
    <w:rsid w:val="2B82123D"/>
    <w:rsid w:val="2BAA0794"/>
    <w:rsid w:val="2BDB6BA0"/>
    <w:rsid w:val="2C0C5FE6"/>
    <w:rsid w:val="2C1005F7"/>
    <w:rsid w:val="2C1A5638"/>
    <w:rsid w:val="2C4C416B"/>
    <w:rsid w:val="2C603BDB"/>
    <w:rsid w:val="2C731D5A"/>
    <w:rsid w:val="2C884632"/>
    <w:rsid w:val="2CB01DDA"/>
    <w:rsid w:val="2CB573F1"/>
    <w:rsid w:val="2CB82A3D"/>
    <w:rsid w:val="2CE4154E"/>
    <w:rsid w:val="2D012636"/>
    <w:rsid w:val="2D095047"/>
    <w:rsid w:val="2D1212FC"/>
    <w:rsid w:val="2D393B7E"/>
    <w:rsid w:val="2D522E91"/>
    <w:rsid w:val="2D684463"/>
    <w:rsid w:val="2D6F0569"/>
    <w:rsid w:val="2D7D4992"/>
    <w:rsid w:val="2DCA2A28"/>
    <w:rsid w:val="2DCA6ECC"/>
    <w:rsid w:val="2E0423DE"/>
    <w:rsid w:val="2E2E0A1D"/>
    <w:rsid w:val="2E334A71"/>
    <w:rsid w:val="2E383E35"/>
    <w:rsid w:val="2E81758A"/>
    <w:rsid w:val="2E8E1CA7"/>
    <w:rsid w:val="2EBC0C2C"/>
    <w:rsid w:val="2EDA4EED"/>
    <w:rsid w:val="2F35748D"/>
    <w:rsid w:val="2F3C5BA7"/>
    <w:rsid w:val="2FE06533"/>
    <w:rsid w:val="300264A9"/>
    <w:rsid w:val="30197C97"/>
    <w:rsid w:val="302723B3"/>
    <w:rsid w:val="305111DE"/>
    <w:rsid w:val="3082583C"/>
    <w:rsid w:val="308B2942"/>
    <w:rsid w:val="30923F09"/>
    <w:rsid w:val="309F63EE"/>
    <w:rsid w:val="30F46739"/>
    <w:rsid w:val="311C17EC"/>
    <w:rsid w:val="318B6972"/>
    <w:rsid w:val="31BB2DB3"/>
    <w:rsid w:val="31F938DC"/>
    <w:rsid w:val="3200110E"/>
    <w:rsid w:val="321B7CF6"/>
    <w:rsid w:val="33114C55"/>
    <w:rsid w:val="33292AF7"/>
    <w:rsid w:val="334D2131"/>
    <w:rsid w:val="3350577D"/>
    <w:rsid w:val="335A65FC"/>
    <w:rsid w:val="335C6818"/>
    <w:rsid w:val="3369683F"/>
    <w:rsid w:val="33744D0D"/>
    <w:rsid w:val="339947E9"/>
    <w:rsid w:val="33A21B7D"/>
    <w:rsid w:val="33A929EA"/>
    <w:rsid w:val="33D04B10"/>
    <w:rsid w:val="34063B13"/>
    <w:rsid w:val="34645A81"/>
    <w:rsid w:val="34AF2977"/>
    <w:rsid w:val="34D50630"/>
    <w:rsid w:val="34EC597A"/>
    <w:rsid w:val="34EF3F2A"/>
    <w:rsid w:val="35191D2E"/>
    <w:rsid w:val="3525326F"/>
    <w:rsid w:val="352944D8"/>
    <w:rsid w:val="35342C4D"/>
    <w:rsid w:val="35B17AB9"/>
    <w:rsid w:val="35D85641"/>
    <w:rsid w:val="35EA2872"/>
    <w:rsid w:val="361221A9"/>
    <w:rsid w:val="36271315"/>
    <w:rsid w:val="362B4280"/>
    <w:rsid w:val="366B28CE"/>
    <w:rsid w:val="36853990"/>
    <w:rsid w:val="368971C1"/>
    <w:rsid w:val="36C148F4"/>
    <w:rsid w:val="36C558AC"/>
    <w:rsid w:val="36FA25D0"/>
    <w:rsid w:val="371C0798"/>
    <w:rsid w:val="372238D5"/>
    <w:rsid w:val="37DD15AA"/>
    <w:rsid w:val="38042A8C"/>
    <w:rsid w:val="3815793D"/>
    <w:rsid w:val="38D46E50"/>
    <w:rsid w:val="39353959"/>
    <w:rsid w:val="39706B79"/>
    <w:rsid w:val="39874323"/>
    <w:rsid w:val="39A36682"/>
    <w:rsid w:val="39AB195F"/>
    <w:rsid w:val="39AB7BB1"/>
    <w:rsid w:val="39B85737"/>
    <w:rsid w:val="39F552D0"/>
    <w:rsid w:val="3A0E1EEE"/>
    <w:rsid w:val="3A1C0AAF"/>
    <w:rsid w:val="3A1F40FB"/>
    <w:rsid w:val="3A23599A"/>
    <w:rsid w:val="3A255BB6"/>
    <w:rsid w:val="3A652CCE"/>
    <w:rsid w:val="3AF85078"/>
    <w:rsid w:val="3B00217F"/>
    <w:rsid w:val="3B440E2B"/>
    <w:rsid w:val="3B4C7172"/>
    <w:rsid w:val="3B5014E9"/>
    <w:rsid w:val="3B702E61"/>
    <w:rsid w:val="3B954675"/>
    <w:rsid w:val="3BA74BF0"/>
    <w:rsid w:val="3BB32B34"/>
    <w:rsid w:val="3BC907C3"/>
    <w:rsid w:val="3C3025F0"/>
    <w:rsid w:val="3C371BD0"/>
    <w:rsid w:val="3C3F599F"/>
    <w:rsid w:val="3C5F4158"/>
    <w:rsid w:val="3C6D73A0"/>
    <w:rsid w:val="3C753521"/>
    <w:rsid w:val="3CC72F54"/>
    <w:rsid w:val="3CCB2319"/>
    <w:rsid w:val="3D6267D9"/>
    <w:rsid w:val="3D6407A3"/>
    <w:rsid w:val="3D801355"/>
    <w:rsid w:val="3DB72FC9"/>
    <w:rsid w:val="3DED04A3"/>
    <w:rsid w:val="3E135D25"/>
    <w:rsid w:val="3E565D2B"/>
    <w:rsid w:val="3E886713"/>
    <w:rsid w:val="3E9C5D1B"/>
    <w:rsid w:val="3EAD0F7A"/>
    <w:rsid w:val="3F0F473E"/>
    <w:rsid w:val="3F12422F"/>
    <w:rsid w:val="3F242CC7"/>
    <w:rsid w:val="3F854A01"/>
    <w:rsid w:val="3FAE03FB"/>
    <w:rsid w:val="3FED5029"/>
    <w:rsid w:val="3FFF0C57"/>
    <w:rsid w:val="401D0076"/>
    <w:rsid w:val="4046720F"/>
    <w:rsid w:val="407D392A"/>
    <w:rsid w:val="408A6E2E"/>
    <w:rsid w:val="40AA0BC3"/>
    <w:rsid w:val="40D54D9C"/>
    <w:rsid w:val="40E67721"/>
    <w:rsid w:val="410302D3"/>
    <w:rsid w:val="410B7187"/>
    <w:rsid w:val="412D70FE"/>
    <w:rsid w:val="416A2100"/>
    <w:rsid w:val="41764F49"/>
    <w:rsid w:val="417C1E33"/>
    <w:rsid w:val="418036D2"/>
    <w:rsid w:val="41A43864"/>
    <w:rsid w:val="41A82C28"/>
    <w:rsid w:val="41F82519"/>
    <w:rsid w:val="420A1D04"/>
    <w:rsid w:val="42146A90"/>
    <w:rsid w:val="4250579A"/>
    <w:rsid w:val="429C09DF"/>
    <w:rsid w:val="429D02B3"/>
    <w:rsid w:val="42BF022A"/>
    <w:rsid w:val="42EF0BCB"/>
    <w:rsid w:val="42F75C15"/>
    <w:rsid w:val="431F161C"/>
    <w:rsid w:val="43476B9D"/>
    <w:rsid w:val="435C1F1C"/>
    <w:rsid w:val="436A288B"/>
    <w:rsid w:val="436C03B1"/>
    <w:rsid w:val="4379487C"/>
    <w:rsid w:val="4398459C"/>
    <w:rsid w:val="43CD4BC8"/>
    <w:rsid w:val="43DD12AF"/>
    <w:rsid w:val="441261DB"/>
    <w:rsid w:val="441D5B50"/>
    <w:rsid w:val="446071E8"/>
    <w:rsid w:val="4474119F"/>
    <w:rsid w:val="44B506F8"/>
    <w:rsid w:val="44C304A5"/>
    <w:rsid w:val="451124F4"/>
    <w:rsid w:val="45321187"/>
    <w:rsid w:val="454F4C52"/>
    <w:rsid w:val="45570BED"/>
    <w:rsid w:val="45605CF4"/>
    <w:rsid w:val="45AC718B"/>
    <w:rsid w:val="46113D93"/>
    <w:rsid w:val="462F1B6A"/>
    <w:rsid w:val="46537AD2"/>
    <w:rsid w:val="4654337F"/>
    <w:rsid w:val="466510E8"/>
    <w:rsid w:val="468C0D6B"/>
    <w:rsid w:val="46945D41"/>
    <w:rsid w:val="46B34549"/>
    <w:rsid w:val="46BC1650"/>
    <w:rsid w:val="46BD633C"/>
    <w:rsid w:val="46BD7176"/>
    <w:rsid w:val="46F96400"/>
    <w:rsid w:val="47032A94"/>
    <w:rsid w:val="47395E3F"/>
    <w:rsid w:val="476615BC"/>
    <w:rsid w:val="47946129"/>
    <w:rsid w:val="47A345BE"/>
    <w:rsid w:val="47E524E0"/>
    <w:rsid w:val="47F06614"/>
    <w:rsid w:val="48455675"/>
    <w:rsid w:val="48517B76"/>
    <w:rsid w:val="486B3CCF"/>
    <w:rsid w:val="4871646A"/>
    <w:rsid w:val="48762A29"/>
    <w:rsid w:val="488C32A4"/>
    <w:rsid w:val="48B01C07"/>
    <w:rsid w:val="48D04F3E"/>
    <w:rsid w:val="48E07B1F"/>
    <w:rsid w:val="491325C4"/>
    <w:rsid w:val="49663AF5"/>
    <w:rsid w:val="499F0DB5"/>
    <w:rsid w:val="499F2B63"/>
    <w:rsid w:val="49B83D5B"/>
    <w:rsid w:val="49E35145"/>
    <w:rsid w:val="4A0B01F8"/>
    <w:rsid w:val="4A2F3EE7"/>
    <w:rsid w:val="4A804742"/>
    <w:rsid w:val="4A9525BF"/>
    <w:rsid w:val="4AB10DA0"/>
    <w:rsid w:val="4AD66A58"/>
    <w:rsid w:val="4AEB42B2"/>
    <w:rsid w:val="4AF15640"/>
    <w:rsid w:val="4B1A095A"/>
    <w:rsid w:val="4B6776B0"/>
    <w:rsid w:val="4BAB57EF"/>
    <w:rsid w:val="4BB52D66"/>
    <w:rsid w:val="4BBD3FC2"/>
    <w:rsid w:val="4BE96B18"/>
    <w:rsid w:val="4C172E84"/>
    <w:rsid w:val="4C272AD8"/>
    <w:rsid w:val="4C4A325A"/>
    <w:rsid w:val="4C63431C"/>
    <w:rsid w:val="4C672BCE"/>
    <w:rsid w:val="4C6C0F76"/>
    <w:rsid w:val="4D0A4797"/>
    <w:rsid w:val="4D290918"/>
    <w:rsid w:val="4D352D6A"/>
    <w:rsid w:val="4D381304"/>
    <w:rsid w:val="4D3A507C"/>
    <w:rsid w:val="4D754306"/>
    <w:rsid w:val="4D7A4EDE"/>
    <w:rsid w:val="4D92310A"/>
    <w:rsid w:val="4D933D80"/>
    <w:rsid w:val="4DA82C18"/>
    <w:rsid w:val="4DB52955"/>
    <w:rsid w:val="4DDC4386"/>
    <w:rsid w:val="4E151645"/>
    <w:rsid w:val="4E255D2C"/>
    <w:rsid w:val="4E3E6DEE"/>
    <w:rsid w:val="4E8A5B90"/>
    <w:rsid w:val="4EB946C7"/>
    <w:rsid w:val="4ED67027"/>
    <w:rsid w:val="4F142E7A"/>
    <w:rsid w:val="4F161B19"/>
    <w:rsid w:val="4F2A1121"/>
    <w:rsid w:val="4F7725B8"/>
    <w:rsid w:val="4F782A3D"/>
    <w:rsid w:val="4FB70C06"/>
    <w:rsid w:val="4FE237A9"/>
    <w:rsid w:val="4FF05EC6"/>
    <w:rsid w:val="50286526"/>
    <w:rsid w:val="50B67110"/>
    <w:rsid w:val="50CC06E1"/>
    <w:rsid w:val="50CD1DBB"/>
    <w:rsid w:val="510C6D30"/>
    <w:rsid w:val="51287B62"/>
    <w:rsid w:val="51422751"/>
    <w:rsid w:val="51814626"/>
    <w:rsid w:val="51D57A6A"/>
    <w:rsid w:val="51E46B3B"/>
    <w:rsid w:val="51EE6435"/>
    <w:rsid w:val="5245699D"/>
    <w:rsid w:val="52C85E60"/>
    <w:rsid w:val="52E20650"/>
    <w:rsid w:val="531C78B2"/>
    <w:rsid w:val="534053B7"/>
    <w:rsid w:val="53487DC7"/>
    <w:rsid w:val="53591FD4"/>
    <w:rsid w:val="535A6478"/>
    <w:rsid w:val="535E583D"/>
    <w:rsid w:val="53650979"/>
    <w:rsid w:val="5372025D"/>
    <w:rsid w:val="538912EB"/>
    <w:rsid w:val="53894668"/>
    <w:rsid w:val="53A2510A"/>
    <w:rsid w:val="53A37F52"/>
    <w:rsid w:val="53A92F5C"/>
    <w:rsid w:val="53AC050C"/>
    <w:rsid w:val="53AC47FA"/>
    <w:rsid w:val="54212AF2"/>
    <w:rsid w:val="544A4269"/>
    <w:rsid w:val="54692861"/>
    <w:rsid w:val="5490114E"/>
    <w:rsid w:val="54E01282"/>
    <w:rsid w:val="54EF0E42"/>
    <w:rsid w:val="550740BD"/>
    <w:rsid w:val="552634F0"/>
    <w:rsid w:val="555111B5"/>
    <w:rsid w:val="555313D1"/>
    <w:rsid w:val="555869E7"/>
    <w:rsid w:val="5563538C"/>
    <w:rsid w:val="557D644E"/>
    <w:rsid w:val="558A0B6B"/>
    <w:rsid w:val="55983288"/>
    <w:rsid w:val="55EA0798"/>
    <w:rsid w:val="55F54236"/>
    <w:rsid w:val="560163AA"/>
    <w:rsid w:val="56101070"/>
    <w:rsid w:val="565769C2"/>
    <w:rsid w:val="566C201F"/>
    <w:rsid w:val="567D5FDA"/>
    <w:rsid w:val="56B347E4"/>
    <w:rsid w:val="56C21B38"/>
    <w:rsid w:val="5728063B"/>
    <w:rsid w:val="575D504D"/>
    <w:rsid w:val="576F626A"/>
    <w:rsid w:val="578E4942"/>
    <w:rsid w:val="585119A0"/>
    <w:rsid w:val="58611E10"/>
    <w:rsid w:val="5890783C"/>
    <w:rsid w:val="58D42ABD"/>
    <w:rsid w:val="58DC00DB"/>
    <w:rsid w:val="58DE7204"/>
    <w:rsid w:val="58F92290"/>
    <w:rsid w:val="58FC3B2E"/>
    <w:rsid w:val="59A246D5"/>
    <w:rsid w:val="59AA5338"/>
    <w:rsid w:val="59B461B6"/>
    <w:rsid w:val="59EF71EF"/>
    <w:rsid w:val="5A1C100A"/>
    <w:rsid w:val="5A4B62FE"/>
    <w:rsid w:val="5A513A05"/>
    <w:rsid w:val="5A7A4217"/>
    <w:rsid w:val="5A7B6CD4"/>
    <w:rsid w:val="5A8C0EE1"/>
    <w:rsid w:val="5AB26B9A"/>
    <w:rsid w:val="5AD65B96"/>
    <w:rsid w:val="5B060C94"/>
    <w:rsid w:val="5BD62414"/>
    <w:rsid w:val="5BE91780"/>
    <w:rsid w:val="5BF136F2"/>
    <w:rsid w:val="5C34538D"/>
    <w:rsid w:val="5C3929A3"/>
    <w:rsid w:val="5C8A31FF"/>
    <w:rsid w:val="5CCC1A69"/>
    <w:rsid w:val="5CEB1EEF"/>
    <w:rsid w:val="5D521F6E"/>
    <w:rsid w:val="5D7B9DC1"/>
    <w:rsid w:val="5D804D2D"/>
    <w:rsid w:val="5DAF116F"/>
    <w:rsid w:val="5E2A2EEB"/>
    <w:rsid w:val="5E457D25"/>
    <w:rsid w:val="5E6D2E75"/>
    <w:rsid w:val="5EC46E9C"/>
    <w:rsid w:val="5F0E45BB"/>
    <w:rsid w:val="5F1F0576"/>
    <w:rsid w:val="5F291426"/>
    <w:rsid w:val="5F3A53B0"/>
    <w:rsid w:val="5F441D8B"/>
    <w:rsid w:val="5F56076B"/>
    <w:rsid w:val="5F5F4E16"/>
    <w:rsid w:val="5F73441E"/>
    <w:rsid w:val="5F797C86"/>
    <w:rsid w:val="5F97635E"/>
    <w:rsid w:val="5FB23198"/>
    <w:rsid w:val="604069F6"/>
    <w:rsid w:val="60B5113E"/>
    <w:rsid w:val="60E05AE3"/>
    <w:rsid w:val="60F33A68"/>
    <w:rsid w:val="613227E3"/>
    <w:rsid w:val="6134408D"/>
    <w:rsid w:val="6142679E"/>
    <w:rsid w:val="6155027F"/>
    <w:rsid w:val="61955BE0"/>
    <w:rsid w:val="619568CD"/>
    <w:rsid w:val="619D5782"/>
    <w:rsid w:val="61A82AA5"/>
    <w:rsid w:val="61C3168D"/>
    <w:rsid w:val="6220088D"/>
    <w:rsid w:val="62507EEA"/>
    <w:rsid w:val="62562501"/>
    <w:rsid w:val="6258567D"/>
    <w:rsid w:val="626E6B5C"/>
    <w:rsid w:val="62EA0E9B"/>
    <w:rsid w:val="630755A9"/>
    <w:rsid w:val="63163A3E"/>
    <w:rsid w:val="634C3904"/>
    <w:rsid w:val="636429FB"/>
    <w:rsid w:val="638C51AC"/>
    <w:rsid w:val="638E5CCA"/>
    <w:rsid w:val="63936E3D"/>
    <w:rsid w:val="64040B40"/>
    <w:rsid w:val="648D7D30"/>
    <w:rsid w:val="649410BE"/>
    <w:rsid w:val="64A04927"/>
    <w:rsid w:val="64C33752"/>
    <w:rsid w:val="64EC4F6D"/>
    <w:rsid w:val="64F35D38"/>
    <w:rsid w:val="651A2D2A"/>
    <w:rsid w:val="652F12CE"/>
    <w:rsid w:val="654E3963"/>
    <w:rsid w:val="65B25CA0"/>
    <w:rsid w:val="65B65064"/>
    <w:rsid w:val="660404C6"/>
    <w:rsid w:val="660B1A36"/>
    <w:rsid w:val="661F2C0A"/>
    <w:rsid w:val="66214BD4"/>
    <w:rsid w:val="663A3EE7"/>
    <w:rsid w:val="66417024"/>
    <w:rsid w:val="6663343E"/>
    <w:rsid w:val="66A36174"/>
    <w:rsid w:val="66D63C10"/>
    <w:rsid w:val="66D87988"/>
    <w:rsid w:val="66E83943"/>
    <w:rsid w:val="66F66060"/>
    <w:rsid w:val="66FB3677"/>
    <w:rsid w:val="673D6D14"/>
    <w:rsid w:val="674E19F8"/>
    <w:rsid w:val="677C5CC9"/>
    <w:rsid w:val="67C07452"/>
    <w:rsid w:val="67E4410B"/>
    <w:rsid w:val="6815114A"/>
    <w:rsid w:val="681E586F"/>
    <w:rsid w:val="68410EF7"/>
    <w:rsid w:val="68784853"/>
    <w:rsid w:val="68AF4E0D"/>
    <w:rsid w:val="68C61A62"/>
    <w:rsid w:val="68D221B5"/>
    <w:rsid w:val="68E85E7D"/>
    <w:rsid w:val="68F0088D"/>
    <w:rsid w:val="691602F4"/>
    <w:rsid w:val="696A6892"/>
    <w:rsid w:val="69AE677E"/>
    <w:rsid w:val="69C935B8"/>
    <w:rsid w:val="69EE74C3"/>
    <w:rsid w:val="6A2151A2"/>
    <w:rsid w:val="6A2D7545"/>
    <w:rsid w:val="6A4C232D"/>
    <w:rsid w:val="6A527A52"/>
    <w:rsid w:val="6A537326"/>
    <w:rsid w:val="6A6255CE"/>
    <w:rsid w:val="6A6B466F"/>
    <w:rsid w:val="6A755144"/>
    <w:rsid w:val="6A9E40CF"/>
    <w:rsid w:val="6AC97FD8"/>
    <w:rsid w:val="6B671384"/>
    <w:rsid w:val="6B80414A"/>
    <w:rsid w:val="6BE02E3B"/>
    <w:rsid w:val="6BEB7874"/>
    <w:rsid w:val="6BEC607D"/>
    <w:rsid w:val="6C044D7B"/>
    <w:rsid w:val="6C09402E"/>
    <w:rsid w:val="6C4909E0"/>
    <w:rsid w:val="6C4D6722"/>
    <w:rsid w:val="6C6B0957"/>
    <w:rsid w:val="6C705F6D"/>
    <w:rsid w:val="6C845BE3"/>
    <w:rsid w:val="6C980234"/>
    <w:rsid w:val="6C9C1458"/>
    <w:rsid w:val="6CCA6ED9"/>
    <w:rsid w:val="6CFE7A1D"/>
    <w:rsid w:val="6D1F1741"/>
    <w:rsid w:val="6D7B2E1B"/>
    <w:rsid w:val="6D907E9F"/>
    <w:rsid w:val="6D9257C2"/>
    <w:rsid w:val="6DE27678"/>
    <w:rsid w:val="6E533D98"/>
    <w:rsid w:val="6E7D2BC3"/>
    <w:rsid w:val="6EEB2223"/>
    <w:rsid w:val="6F173018"/>
    <w:rsid w:val="6F3B6D06"/>
    <w:rsid w:val="6F7C10CD"/>
    <w:rsid w:val="6F92557B"/>
    <w:rsid w:val="6FA40A2F"/>
    <w:rsid w:val="6FB95E7D"/>
    <w:rsid w:val="700A492A"/>
    <w:rsid w:val="701557A9"/>
    <w:rsid w:val="702E1E01"/>
    <w:rsid w:val="705838E8"/>
    <w:rsid w:val="707068C7"/>
    <w:rsid w:val="70875F7B"/>
    <w:rsid w:val="70D867D7"/>
    <w:rsid w:val="70F51137"/>
    <w:rsid w:val="711C4FDE"/>
    <w:rsid w:val="716C3F64"/>
    <w:rsid w:val="717D2EDC"/>
    <w:rsid w:val="71866233"/>
    <w:rsid w:val="71A21B6E"/>
    <w:rsid w:val="71A36DE5"/>
    <w:rsid w:val="71CF1988"/>
    <w:rsid w:val="72037883"/>
    <w:rsid w:val="7209396E"/>
    <w:rsid w:val="720D52BE"/>
    <w:rsid w:val="72440855"/>
    <w:rsid w:val="724C122A"/>
    <w:rsid w:val="725D43B0"/>
    <w:rsid w:val="727131C2"/>
    <w:rsid w:val="72767030"/>
    <w:rsid w:val="72780053"/>
    <w:rsid w:val="727A5D97"/>
    <w:rsid w:val="72872262"/>
    <w:rsid w:val="728F6249"/>
    <w:rsid w:val="72AE3C93"/>
    <w:rsid w:val="72CC4119"/>
    <w:rsid w:val="72F13B80"/>
    <w:rsid w:val="730B446C"/>
    <w:rsid w:val="73267CCD"/>
    <w:rsid w:val="73320420"/>
    <w:rsid w:val="73683E42"/>
    <w:rsid w:val="7393688E"/>
    <w:rsid w:val="739E1612"/>
    <w:rsid w:val="73A56E44"/>
    <w:rsid w:val="73C60B68"/>
    <w:rsid w:val="73D72ED9"/>
    <w:rsid w:val="73F25E01"/>
    <w:rsid w:val="74135F97"/>
    <w:rsid w:val="741B67DE"/>
    <w:rsid w:val="741C69DA"/>
    <w:rsid w:val="742442AB"/>
    <w:rsid w:val="74403DA8"/>
    <w:rsid w:val="7447614D"/>
    <w:rsid w:val="745E6FF3"/>
    <w:rsid w:val="745F3497"/>
    <w:rsid w:val="74723210"/>
    <w:rsid w:val="74850A24"/>
    <w:rsid w:val="74C7103C"/>
    <w:rsid w:val="74CC0400"/>
    <w:rsid w:val="75063912"/>
    <w:rsid w:val="751F6609"/>
    <w:rsid w:val="752244C4"/>
    <w:rsid w:val="75744F3C"/>
    <w:rsid w:val="75796A65"/>
    <w:rsid w:val="757C5983"/>
    <w:rsid w:val="75BD5C64"/>
    <w:rsid w:val="75CC46E9"/>
    <w:rsid w:val="75E654F2"/>
    <w:rsid w:val="75F61BD9"/>
    <w:rsid w:val="76004806"/>
    <w:rsid w:val="764D08AD"/>
    <w:rsid w:val="765B754E"/>
    <w:rsid w:val="76756233"/>
    <w:rsid w:val="76967512"/>
    <w:rsid w:val="769E7B7B"/>
    <w:rsid w:val="76A827A7"/>
    <w:rsid w:val="76B31878"/>
    <w:rsid w:val="76BB072D"/>
    <w:rsid w:val="76BB697E"/>
    <w:rsid w:val="76C021E7"/>
    <w:rsid w:val="76CC62A5"/>
    <w:rsid w:val="771628B2"/>
    <w:rsid w:val="777C4360"/>
    <w:rsid w:val="77CD0717"/>
    <w:rsid w:val="77EBEFD4"/>
    <w:rsid w:val="781F4CEB"/>
    <w:rsid w:val="786848E4"/>
    <w:rsid w:val="789C4C2E"/>
    <w:rsid w:val="78BD078C"/>
    <w:rsid w:val="78CA10FB"/>
    <w:rsid w:val="78CC4E73"/>
    <w:rsid w:val="78CC6E57"/>
    <w:rsid w:val="78DF4BA6"/>
    <w:rsid w:val="78FB7506"/>
    <w:rsid w:val="792702FB"/>
    <w:rsid w:val="79C67B14"/>
    <w:rsid w:val="79E400AD"/>
    <w:rsid w:val="79ED32F3"/>
    <w:rsid w:val="7A306388"/>
    <w:rsid w:val="7A3A5CE2"/>
    <w:rsid w:val="7A562609"/>
    <w:rsid w:val="7A7430CC"/>
    <w:rsid w:val="7A951295"/>
    <w:rsid w:val="7A9664C7"/>
    <w:rsid w:val="7ABB6F4D"/>
    <w:rsid w:val="7AC92FEC"/>
    <w:rsid w:val="7AD86768"/>
    <w:rsid w:val="7B3F1B97"/>
    <w:rsid w:val="7B615D46"/>
    <w:rsid w:val="7B7F4F52"/>
    <w:rsid w:val="7B876E2F"/>
    <w:rsid w:val="7B98103C"/>
    <w:rsid w:val="7BA67BFD"/>
    <w:rsid w:val="7BE10C35"/>
    <w:rsid w:val="7BE16750"/>
    <w:rsid w:val="7BF30969"/>
    <w:rsid w:val="7C077F70"/>
    <w:rsid w:val="7C0861C2"/>
    <w:rsid w:val="7C1903CF"/>
    <w:rsid w:val="7C345209"/>
    <w:rsid w:val="7C574A54"/>
    <w:rsid w:val="7C5B09E8"/>
    <w:rsid w:val="7C86051E"/>
    <w:rsid w:val="7CB43C54"/>
    <w:rsid w:val="7CC540B3"/>
    <w:rsid w:val="7CF2585D"/>
    <w:rsid w:val="7D2863F0"/>
    <w:rsid w:val="7D5471E5"/>
    <w:rsid w:val="7D7678E6"/>
    <w:rsid w:val="7DA43CC8"/>
    <w:rsid w:val="7DA939D5"/>
    <w:rsid w:val="7DBA7990"/>
    <w:rsid w:val="7DE06CCB"/>
    <w:rsid w:val="7E1D78AF"/>
    <w:rsid w:val="7E225B11"/>
    <w:rsid w:val="7E7E6C0F"/>
    <w:rsid w:val="7EB048EF"/>
    <w:rsid w:val="7F173D36"/>
    <w:rsid w:val="7FAA7590"/>
    <w:rsid w:val="7FE0137A"/>
    <w:rsid w:val="9FBBCBB4"/>
    <w:rsid w:val="E4F49FDB"/>
    <w:rsid w:val="EFEE7D79"/>
    <w:rsid w:val="FF5F9B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43"/>
    <w:qFormat/>
    <w:uiPriority w:val="0"/>
    <w:pPr>
      <w:keepNext/>
      <w:keepLines/>
      <w:spacing w:before="340" w:after="110" w:line="480" w:lineRule="auto"/>
      <w:jc w:val="center"/>
      <w:outlineLvl w:val="0"/>
    </w:pPr>
    <w:rPr>
      <w:rFonts w:ascii="Times New Roman" w:hAnsi="Times New Roman" w:eastAsia="宋体" w:cs="Times New Roman"/>
      <w:b/>
      <w:kern w:val="44"/>
      <w:sz w:val="44"/>
      <w:szCs w:val="20"/>
    </w:rPr>
  </w:style>
  <w:style w:type="paragraph" w:styleId="3">
    <w:name w:val="heading 2"/>
    <w:basedOn w:val="1"/>
    <w:next w:val="1"/>
    <w:link w:val="42"/>
    <w:semiHidden/>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qFormat/>
    <w:uiPriority w:val="1"/>
    <w:pPr>
      <w:keepNext/>
      <w:keepLines/>
      <w:adjustRightInd w:val="0"/>
      <w:snapToGrid w:val="0"/>
      <w:spacing w:line="360" w:lineRule="auto"/>
      <w:jc w:val="left"/>
      <w:outlineLvl w:val="2"/>
    </w:pPr>
    <w:rPr>
      <w:rFonts w:ascii="宋体" w:hAnsi="宋体" w:eastAsia="宋体" w:cs="Times New Roman"/>
      <w:b/>
      <w:bCs/>
      <w:kern w:val="0"/>
      <w:sz w:val="20"/>
      <w:szCs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5">
    <w:name w:val="Normal Indent"/>
    <w:basedOn w:val="1"/>
    <w:next w:val="1"/>
    <w:semiHidden/>
    <w:unhideWhenUsed/>
    <w:qFormat/>
    <w:uiPriority w:val="0"/>
    <w:pPr>
      <w:ind w:firstLine="420" w:firstLineChars="200"/>
    </w:pPr>
    <w:rPr>
      <w:rFonts w:ascii="Times New Roman" w:hAnsi="Times New Roman" w:eastAsia="宋体" w:cs="Times New Roman"/>
      <w:sz w:val="21"/>
    </w:rPr>
  </w:style>
  <w:style w:type="paragraph" w:styleId="6">
    <w:name w:val="annotation text"/>
    <w:basedOn w:val="1"/>
    <w:link w:val="33"/>
    <w:qFormat/>
    <w:uiPriority w:val="0"/>
    <w:pPr>
      <w:jc w:val="left"/>
    </w:pPr>
  </w:style>
  <w:style w:type="paragraph" w:styleId="7">
    <w:name w:val="Body Text"/>
    <w:basedOn w:val="1"/>
    <w:qFormat/>
    <w:uiPriority w:val="1"/>
    <w:pPr>
      <w:keepNext w:val="0"/>
      <w:keepLines w:val="0"/>
      <w:widowControl w:val="0"/>
      <w:suppressLineNumbers w:val="0"/>
      <w:spacing w:after="120" w:afterLines="0" w:afterAutospacing="0"/>
      <w:jc w:val="both"/>
    </w:pPr>
    <w:rPr>
      <w:rFonts w:hint="default" w:ascii="Times New Roman" w:hAnsi="Times New Roman" w:eastAsia="宋体" w:cs="Times New Roman"/>
      <w:kern w:val="2"/>
      <w:sz w:val="21"/>
      <w:szCs w:val="21"/>
      <w:lang w:val="en-US" w:eastAsia="zh-CN" w:bidi="ar"/>
    </w:rPr>
  </w:style>
  <w:style w:type="paragraph" w:styleId="8">
    <w:name w:val="Body Text Indent"/>
    <w:basedOn w:val="1"/>
    <w:qFormat/>
    <w:uiPriority w:val="0"/>
    <w:pPr>
      <w:adjustRightInd w:val="0"/>
      <w:spacing w:line="360" w:lineRule="auto"/>
      <w:ind w:firstLine="490"/>
      <w:jc w:val="left"/>
    </w:pPr>
    <w:rPr>
      <w:rFonts w:hint="eastAsia" w:ascii="宋体" w:hAnsi="宋体" w:eastAsia="宋体" w:cs="Times New Roman"/>
      <w:sz w:val="24"/>
      <w:szCs w:val="20"/>
    </w:rPr>
  </w:style>
  <w:style w:type="paragraph" w:styleId="9">
    <w:name w:val="toc 5"/>
    <w:basedOn w:val="1"/>
    <w:next w:val="1"/>
    <w:qFormat/>
    <w:uiPriority w:val="0"/>
    <w:pPr>
      <w:ind w:left="1680" w:leftChars="800"/>
    </w:pPr>
    <w:rPr>
      <w:rFonts w:ascii="Times New Roman" w:hAnsi="Times New Roman" w:eastAsia="宋体" w:cs="Times New Roman"/>
      <w:sz w:val="21"/>
    </w:rPr>
  </w:style>
  <w:style w:type="paragraph" w:styleId="10">
    <w:name w:val="Plain Text"/>
    <w:basedOn w:val="1"/>
    <w:semiHidden/>
    <w:unhideWhenUsed/>
    <w:qFormat/>
    <w:uiPriority w:val="99"/>
    <w:rPr>
      <w:rFonts w:ascii="宋体" w:hAnsi="Courier New" w:eastAsia="宋体" w:cs="Times New Roman"/>
      <w:kern w:val="0"/>
      <w:sz w:val="20"/>
      <w:szCs w:val="20"/>
    </w:rPr>
  </w:style>
  <w:style w:type="paragraph" w:styleId="11">
    <w:name w:val="Date"/>
    <w:basedOn w:val="1"/>
    <w:next w:val="1"/>
    <w:semiHidden/>
    <w:unhideWhenUsed/>
    <w:qFormat/>
    <w:uiPriority w:val="0"/>
    <w:pPr>
      <w:ind w:left="100" w:leftChars="2500"/>
    </w:pPr>
    <w:rPr>
      <w:rFonts w:ascii="Times New Roman" w:hAnsi="Times New Roman" w:eastAsia="宋体" w:cs="Times New Roman"/>
      <w:sz w:val="24"/>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34"/>
    <w:qFormat/>
    <w:uiPriority w:val="0"/>
    <w:rPr>
      <w:sz w:val="18"/>
      <w:szCs w:val="18"/>
    </w:rPr>
  </w:style>
  <w:style w:type="paragraph" w:styleId="14">
    <w:name w:val="footer"/>
    <w:basedOn w:val="1"/>
    <w:link w:val="35"/>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0"/>
    <w:pPr>
      <w:snapToGrid w:val="0"/>
      <w:spacing w:line="360" w:lineRule="exact"/>
    </w:pPr>
    <w:rPr>
      <w:rFonts w:ascii="Arial" w:hAnsi="Arial" w:eastAsia="宋体" w:cs="Arial"/>
      <w:kern w:val="0"/>
      <w:sz w:val="21"/>
    </w:rPr>
  </w:style>
  <w:style w:type="paragraph" w:styleId="17">
    <w:name w:val="Subtitle"/>
    <w:basedOn w:val="1"/>
    <w:next w:val="1"/>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18">
    <w:name w:val="toc 2"/>
    <w:basedOn w:val="1"/>
    <w:next w:val="1"/>
    <w:semiHidden/>
    <w:unhideWhenUsed/>
    <w:qFormat/>
    <w:uiPriority w:val="0"/>
    <w:pPr>
      <w:ind w:left="420" w:leftChars="200"/>
    </w:pPr>
    <w:rPr>
      <w:rFonts w:ascii="Times New Roman" w:hAnsi="Times New Roman" w:eastAsia="宋体" w:cs="Times New Roman"/>
      <w:sz w:val="21"/>
    </w:rPr>
  </w:style>
  <w:style w:type="paragraph" w:styleId="19">
    <w:name w:val="Normal (Web)"/>
    <w:basedOn w:val="1"/>
    <w:qFormat/>
    <w:uiPriority w:val="99"/>
    <w:pPr>
      <w:widowControl/>
      <w:spacing w:before="100" w:beforeLines="0" w:beforeAutospacing="1" w:after="100" w:afterLines="0" w:afterAutospacing="1"/>
      <w:jc w:val="left"/>
    </w:pPr>
    <w:rPr>
      <w:rFonts w:ascii="宋体" w:hAnsi="宋体" w:eastAsia="宋体" w:cs="Times New Roman"/>
      <w:kern w:val="0"/>
      <w:sz w:val="24"/>
    </w:rPr>
  </w:style>
  <w:style w:type="paragraph" w:styleId="20">
    <w:name w:val="Title"/>
    <w:basedOn w:val="1"/>
    <w:next w:val="1"/>
    <w:qFormat/>
    <w:uiPriority w:val="99"/>
    <w:pPr>
      <w:spacing w:before="240" w:after="60"/>
      <w:jc w:val="center"/>
    </w:pPr>
    <w:rPr>
      <w:rFonts w:ascii="等线 Light" w:hAnsi="等线 Light" w:eastAsia="等线 Light"/>
      <w:b/>
      <w:kern w:val="0"/>
      <w:sz w:val="32"/>
      <w:szCs w:val="20"/>
    </w:rPr>
  </w:style>
  <w:style w:type="paragraph" w:styleId="21">
    <w:name w:val="annotation subject"/>
    <w:basedOn w:val="6"/>
    <w:next w:val="6"/>
    <w:link w:val="37"/>
    <w:qFormat/>
    <w:uiPriority w:val="0"/>
    <w:rPr>
      <w:b/>
      <w:bCs/>
    </w:rPr>
  </w:style>
  <w:style w:type="paragraph" w:styleId="22">
    <w:name w:val="Body Text First Indent"/>
    <w:basedOn w:val="7"/>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23">
    <w:name w:val="Body Text First Indent 2"/>
    <w:basedOn w:val="8"/>
    <w:next w:val="12"/>
    <w:qFormat/>
    <w:uiPriority w:val="0"/>
    <w:pPr>
      <w:widowControl w:val="0"/>
      <w:adjustRightInd w:val="0"/>
      <w:spacing w:after="120"/>
      <w:ind w:left="420" w:leftChars="200" w:firstLine="420"/>
      <w:jc w:val="left"/>
    </w:pPr>
  </w:style>
  <w:style w:type="table" w:styleId="25">
    <w:name w:val="Table Grid"/>
    <w:basedOn w:val="24"/>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qFormat/>
    <w:uiPriority w:val="0"/>
    <w:rPr>
      <w:rFonts w:ascii="Times New Roman" w:hAnsi="Times New Roman" w:eastAsia="宋体" w:cs="Times New Roman"/>
    </w:rPr>
  </w:style>
  <w:style w:type="character" w:styleId="29">
    <w:name w:val="Hyperlink"/>
    <w:semiHidden/>
    <w:unhideWhenUsed/>
    <w:qFormat/>
    <w:uiPriority w:val="0"/>
    <w:rPr>
      <w:rFonts w:ascii="Times New Roman" w:hAnsi="Times New Roman" w:eastAsia="宋体" w:cs="Times New Roman"/>
      <w:color w:val="000080"/>
      <w:u w:val="none"/>
    </w:rPr>
  </w:style>
  <w:style w:type="character" w:styleId="30">
    <w:name w:val="annotation reference"/>
    <w:basedOn w:val="26"/>
    <w:qFormat/>
    <w:uiPriority w:val="0"/>
    <w:rPr>
      <w:sz w:val="21"/>
      <w:szCs w:val="21"/>
    </w:rPr>
  </w:style>
  <w:style w:type="paragraph" w:customStyle="1" w:styleId="31">
    <w:name w:val="_Style 2"/>
    <w:basedOn w:val="1"/>
    <w:qFormat/>
    <w:uiPriority w:val="0"/>
    <w:pPr>
      <w:spacing w:line="360" w:lineRule="auto"/>
      <w:ind w:firstLine="420" w:firstLineChars="200"/>
    </w:pPr>
    <w:rPr>
      <w:rFonts w:ascii="Times New Roman" w:hAnsi="Times New Roman" w:eastAsia="宋体" w:cs="Times New Roman"/>
      <w:sz w:val="24"/>
    </w:rPr>
  </w:style>
  <w:style w:type="paragraph" w:customStyle="1" w:styleId="32">
    <w:name w:val="样式 标题 1 + 四号 加粗"/>
    <w:basedOn w:val="2"/>
    <w:qFormat/>
    <w:uiPriority w:val="0"/>
  </w:style>
  <w:style w:type="character" w:customStyle="1" w:styleId="33">
    <w:name w:val="批注文字 字符"/>
    <w:basedOn w:val="26"/>
    <w:link w:val="6"/>
    <w:qFormat/>
    <w:uiPriority w:val="0"/>
    <w:rPr>
      <w:rFonts w:eastAsia="仿宋_GB2312"/>
      <w:kern w:val="2"/>
      <w:sz w:val="32"/>
      <w:szCs w:val="24"/>
    </w:rPr>
  </w:style>
  <w:style w:type="character" w:customStyle="1" w:styleId="34">
    <w:name w:val="批注框文本 字符"/>
    <w:basedOn w:val="26"/>
    <w:link w:val="13"/>
    <w:qFormat/>
    <w:uiPriority w:val="0"/>
    <w:rPr>
      <w:rFonts w:eastAsia="仿宋_GB2312"/>
      <w:kern w:val="2"/>
      <w:sz w:val="18"/>
      <w:szCs w:val="18"/>
    </w:rPr>
  </w:style>
  <w:style w:type="character" w:customStyle="1" w:styleId="35">
    <w:name w:val="页脚 字符"/>
    <w:basedOn w:val="26"/>
    <w:link w:val="14"/>
    <w:qFormat/>
    <w:uiPriority w:val="99"/>
    <w:rPr>
      <w:rFonts w:eastAsia="仿宋_GB2312"/>
      <w:kern w:val="2"/>
      <w:sz w:val="18"/>
      <w:szCs w:val="18"/>
    </w:rPr>
  </w:style>
  <w:style w:type="character" w:customStyle="1" w:styleId="36">
    <w:name w:val="页眉 字符"/>
    <w:basedOn w:val="26"/>
    <w:link w:val="15"/>
    <w:qFormat/>
    <w:uiPriority w:val="0"/>
    <w:rPr>
      <w:rFonts w:eastAsia="仿宋_GB2312"/>
      <w:kern w:val="2"/>
      <w:sz w:val="18"/>
      <w:szCs w:val="18"/>
    </w:rPr>
  </w:style>
  <w:style w:type="character" w:customStyle="1" w:styleId="37">
    <w:name w:val="批注主题 字符"/>
    <w:basedOn w:val="33"/>
    <w:link w:val="21"/>
    <w:qFormat/>
    <w:uiPriority w:val="0"/>
    <w:rPr>
      <w:rFonts w:eastAsia="仿宋_GB2312"/>
      <w:b/>
      <w:bCs/>
      <w:kern w:val="2"/>
      <w:sz w:val="32"/>
      <w:szCs w:val="24"/>
    </w:rPr>
  </w:style>
  <w:style w:type="paragraph" w:customStyle="1" w:styleId="38">
    <w:name w:val="Char1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39">
    <w:name w:val="Body Text First Indent1"/>
    <w:basedOn w:val="7"/>
    <w:next w:val="15"/>
    <w:qFormat/>
    <w:uiPriority w:val="0"/>
    <w:pPr>
      <w:ind w:firstLine="420" w:firstLineChars="100"/>
    </w:pPr>
    <w:rPr>
      <w:sz w:val="20"/>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styleId="41">
    <w:name w:val="List Paragraph"/>
    <w:basedOn w:val="1"/>
    <w:qFormat/>
    <w:uiPriority w:val="34"/>
    <w:pPr>
      <w:ind w:firstLine="420" w:firstLineChars="200"/>
    </w:pPr>
    <w:rPr>
      <w:rFonts w:ascii="Calibri" w:hAnsi="Calibri" w:eastAsia="等线" w:cs="Times New Roman"/>
      <w:kern w:val="0"/>
      <w:sz w:val="20"/>
      <w:szCs w:val="20"/>
    </w:rPr>
  </w:style>
  <w:style w:type="character" w:customStyle="1" w:styleId="42">
    <w:name w:val="标题 2 Char"/>
    <w:link w:val="3"/>
    <w:semiHidden/>
    <w:qFormat/>
    <w:uiPriority w:val="0"/>
    <w:rPr>
      <w:rFonts w:ascii="Calibri Light" w:hAnsi="Calibri Light" w:eastAsia="宋体" w:cs="Times New Roman"/>
      <w:b/>
      <w:bCs/>
      <w:sz w:val="32"/>
      <w:szCs w:val="32"/>
    </w:rPr>
  </w:style>
  <w:style w:type="character" w:customStyle="1" w:styleId="43">
    <w:name w:val="标题 1 Char"/>
    <w:link w:val="2"/>
    <w:qFormat/>
    <w:uiPriority w:val="0"/>
    <w:rPr>
      <w:rFonts w:ascii="Times New Roman" w:hAnsi="Times New Roman" w:eastAsia="宋体" w:cs="Times New Roman"/>
      <w:b/>
      <w:kern w:val="44"/>
      <w:sz w:val="44"/>
      <w:szCs w:val="20"/>
    </w:rPr>
  </w:style>
  <w:style w:type="paragraph" w:customStyle="1" w:styleId="44">
    <w:name w:val="3"/>
    <w:basedOn w:val="1"/>
    <w:qFormat/>
    <w:uiPriority w:val="0"/>
    <w:pPr>
      <w:adjustRightInd w:val="0"/>
      <w:spacing w:line="312" w:lineRule="atLeast"/>
      <w:ind w:left="1134" w:hanging="566"/>
    </w:pPr>
    <w:rPr>
      <w:rFonts w:ascii="昆仑楷体" w:hAnsi="Times New Roman" w:eastAsia="昆仑楷体" w:cs="Times New Roman"/>
      <w:kern w:val="0"/>
      <w:sz w:val="24"/>
      <w:szCs w:val="20"/>
    </w:rPr>
  </w:style>
  <w:style w:type="paragraph" w:customStyle="1" w:styleId="45">
    <w:name w:val="Table Paragraph"/>
    <w:basedOn w:val="1"/>
    <w:qFormat/>
    <w:uiPriority w:val="1"/>
    <w:pPr>
      <w:jc w:val="left"/>
    </w:pPr>
    <w:rPr>
      <w:rFonts w:ascii="宋体" w:hAnsi="宋体" w:eastAsia="宋体" w:cs="宋体"/>
      <w:kern w:val="0"/>
      <w:sz w:val="22"/>
      <w:szCs w:val="22"/>
      <w:lang w:eastAsia="en-US"/>
    </w:rPr>
  </w:style>
  <w:style w:type="paragraph" w:customStyle="1" w:styleId="46">
    <w:name w:val="样式1"/>
    <w:basedOn w:val="7"/>
    <w:qFormat/>
    <w:uiPriority w:val="0"/>
    <w:pPr>
      <w:jc w:val="center"/>
    </w:pPr>
    <w:rPr>
      <w:rFonts w:ascii="Cambria" w:hAnsi="Cambria"/>
      <w:b/>
      <w:bCs/>
      <w:kern w:val="44"/>
      <w:sz w:val="32"/>
      <w:szCs w:val="44"/>
      <w:lang w:val="zh-CN"/>
    </w:rPr>
  </w:style>
  <w:style w:type="paragraph" w:customStyle="1" w:styleId="47">
    <w:name w:val="正文2"/>
    <w:basedOn w:val="1"/>
    <w:qFormat/>
    <w:uiPriority w:val="0"/>
    <w:pPr>
      <w:spacing w:before="156" w:line="360" w:lineRule="auto"/>
      <w:ind w:firstLine="510" w:firstLineChars="200"/>
    </w:pPr>
    <w:rPr>
      <w:rFonts w:ascii="Calibri" w:hAnsi="Calibri" w:eastAsia="宋体" w:cs="Times New Roman"/>
      <w:kern w:val="0"/>
      <w:sz w:val="24"/>
      <w:szCs w:val="20"/>
    </w:rPr>
  </w:style>
  <w:style w:type="paragraph" w:customStyle="1" w:styleId="48">
    <w:name w:val="列出段落1"/>
    <w:basedOn w:val="1"/>
    <w:qFormat/>
    <w:uiPriority w:val="34"/>
    <w:pPr>
      <w:ind w:firstLine="420" w:firstLineChars="200"/>
    </w:pPr>
    <w:rPr>
      <w:rFonts w:ascii="Times New Roman" w:hAnsi="Times New Roman" w:eastAsia="宋体" w:cs="Times New Roman"/>
      <w:sz w:val="21"/>
    </w:rPr>
  </w:style>
  <w:style w:type="paragraph" w:customStyle="1" w:styleId="49">
    <w:name w:val="_Style 284"/>
    <w:basedOn w:val="7"/>
    <w:next w:val="1"/>
    <w:qFormat/>
    <w:uiPriority w:val="99"/>
    <w:pPr>
      <w:widowControl/>
      <w:ind w:firstLine="420" w:firstLineChars="100"/>
      <w:jc w:val="left"/>
    </w:pPr>
    <w:rPr>
      <w:kern w:val="0"/>
    </w:rPr>
  </w:style>
  <w:style w:type="paragraph" w:customStyle="1" w:styleId="50">
    <w:name w:val="Plain Text"/>
    <w:basedOn w:val="1"/>
    <w:qFormat/>
    <w:uiPriority w:val="0"/>
    <w:rPr>
      <w:rFonts w:ascii="宋体" w:hAnsi="Courier New" w:eastAsia="宋体" w:cs="Times New Roman"/>
      <w:kern w:val="0"/>
      <w:sz w:val="20"/>
      <w:szCs w:val="21"/>
    </w:rPr>
  </w:style>
  <w:style w:type="paragraph" w:customStyle="1" w:styleId="51">
    <w:name w:val="纯文本2"/>
    <w:basedOn w:val="1"/>
    <w:qFormat/>
    <w:uiPriority w:val="0"/>
    <w:pPr>
      <w:widowControl w:val="0"/>
      <w:kinsoku/>
      <w:autoSpaceDE/>
      <w:autoSpaceDN/>
      <w:adjustRightInd/>
      <w:snapToGrid/>
      <w:jc w:val="both"/>
      <w:textAlignment w:val="auto"/>
    </w:pPr>
    <w:rPr>
      <w:rFonts w:ascii="宋体" w:hAnsi="Courier New" w:eastAsia="宋体" w:cs="Times New Roman"/>
      <w:snapToGrid/>
      <w:color w:val="auto"/>
      <w:sz w:val="20"/>
    </w:rPr>
  </w:style>
  <w:style w:type="paragraph" w:customStyle="1" w:styleId="52">
    <w:name w:val="纯文本1"/>
    <w:basedOn w:val="1"/>
    <w:qFormat/>
    <w:uiPriority w:val="0"/>
    <w:rPr>
      <w:rFonts w:ascii="宋体" w:hAnsi="Courier New" w:eastAsia="宋体" w:cs="Times New Roman"/>
      <w:sz w:val="21"/>
      <w:szCs w:val="22"/>
    </w:rPr>
  </w:style>
  <w:style w:type="paragraph" w:customStyle="1" w:styleId="53">
    <w:name w:val="正文缩进1"/>
    <w:basedOn w:val="1"/>
    <w:next w:val="8"/>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54">
    <w:name w:val="text-tag"/>
    <w:basedOn w:val="1"/>
    <w:semiHidden/>
    <w:qFormat/>
    <w:uiPriority w:val="99"/>
    <w:pPr>
      <w:widowControl/>
      <w:spacing w:before="100" w:beforeAutospacing="1" w:after="100" w:afterAutospacing="1"/>
      <w:jc w:val="left"/>
    </w:pPr>
    <w:rPr>
      <w:rFonts w:ascii="宋体" w:hAnsi="宋体" w:eastAsia="宋体" w:cs="宋体"/>
      <w:kern w:val="0"/>
      <w:sz w:val="24"/>
    </w:rPr>
  </w:style>
  <w:style w:type="paragraph" w:customStyle="1" w:styleId="55">
    <w:name w:val="p0"/>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56">
    <w:name w:val="[Normal]"/>
    <w:qFormat/>
    <w:uiPriority w:val="99"/>
    <w:rPr>
      <w:rFonts w:ascii="宋体" w:hAnsi="宋体" w:eastAsia="宋体" w:cs="Times New Roman"/>
      <w:sz w:val="24"/>
      <w:szCs w:val="22"/>
      <w:lang w:val="zh-CN" w:eastAsia="zh-CN" w:bidi="ar-SA"/>
    </w:rPr>
  </w:style>
  <w:style w:type="paragraph" w:customStyle="1" w:styleId="57">
    <w:name w:val="dyibufen"/>
    <w:basedOn w:val="1"/>
    <w:qFormat/>
    <w:uiPriority w:val="0"/>
    <w:pPr>
      <w:spacing w:line="360" w:lineRule="auto"/>
      <w:jc w:val="center"/>
      <w:outlineLvl w:val="0"/>
    </w:pPr>
    <w:rPr>
      <w:rFonts w:ascii="宋体" w:hAnsi="宋体" w:eastAsia="宋体" w:cs="Times New Roman"/>
      <w:b/>
      <w:color w:val="000000"/>
      <w:sz w:val="32"/>
      <w:szCs w:val="32"/>
    </w:rPr>
  </w:style>
  <w:style w:type="character" w:customStyle="1" w:styleId="58">
    <w:name w:val="10"/>
    <w:basedOn w:val="26"/>
    <w:qFormat/>
    <w:uiPriority w:val="0"/>
    <w:rPr>
      <w:rFonts w:hint="default" w:ascii="Times New Roman" w:hAnsi="Times New Roman" w:eastAsia="宋体" w:cs="Times New Roman"/>
    </w:rPr>
  </w:style>
  <w:style w:type="character" w:customStyle="1" w:styleId="59">
    <w:name w:val="15"/>
    <w:basedOn w:val="26"/>
    <w:qFormat/>
    <w:uiPriority w:val="0"/>
    <w:rPr>
      <w:rFonts w:hint="default" w:ascii="Times New Roman" w:hAnsi="Times New Roman" w:eastAsia="宋体" w:cs="Times New Roman"/>
    </w:rPr>
  </w:style>
  <w:style w:type="character" w:customStyle="1" w:styleId="60">
    <w:name w:val="font61"/>
    <w:basedOn w:val="26"/>
    <w:qFormat/>
    <w:uiPriority w:val="0"/>
    <w:rPr>
      <w:rFonts w:ascii="宋体" w:hAnsi="宋体" w:eastAsia="宋体" w:cs="宋体"/>
      <w:color w:val="000000"/>
      <w:sz w:val="14"/>
      <w:szCs w:val="14"/>
      <w:u w:val="none"/>
    </w:rPr>
  </w:style>
  <w:style w:type="character" w:customStyle="1" w:styleId="61">
    <w:name w:val="font71"/>
    <w:basedOn w:val="26"/>
    <w:qFormat/>
    <w:uiPriority w:val="0"/>
    <w:rPr>
      <w:rFonts w:ascii="宋体" w:hAnsi="宋体" w:eastAsia="宋体" w:cs="宋体"/>
      <w:color w:val="003A87"/>
      <w:sz w:val="14"/>
      <w:szCs w:val="14"/>
      <w:u w:val="none"/>
    </w:rPr>
  </w:style>
  <w:style w:type="character" w:customStyle="1" w:styleId="62">
    <w:name w:val="font81"/>
    <w:basedOn w:val="26"/>
    <w:qFormat/>
    <w:uiPriority w:val="0"/>
    <w:rPr>
      <w:rFonts w:ascii="宋体" w:hAnsi="宋体" w:eastAsia="宋体" w:cs="宋体"/>
      <w:color w:val="A70016"/>
      <w:sz w:val="14"/>
      <w:szCs w:val="14"/>
      <w:u w:val="none"/>
    </w:rPr>
  </w:style>
  <w:style w:type="character" w:customStyle="1" w:styleId="63">
    <w:name w:val="font91"/>
    <w:basedOn w:val="26"/>
    <w:qFormat/>
    <w:uiPriority w:val="0"/>
    <w:rPr>
      <w:rFonts w:ascii="宋体" w:hAnsi="宋体" w:eastAsia="宋体" w:cs="宋体"/>
      <w:color w:val="00388D"/>
      <w:sz w:val="14"/>
      <w:szCs w:val="14"/>
      <w:u w:val="none"/>
    </w:rPr>
  </w:style>
  <w:style w:type="paragraph" w:customStyle="1" w:styleId="6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_Style 3"/>
    <w:basedOn w:val="1"/>
    <w:qFormat/>
    <w:uiPriority w:val="1"/>
    <w:pPr>
      <w:ind w:firstLine="420" w:firstLineChars="200"/>
    </w:pPr>
    <w:rPr>
      <w:rFonts w:eastAsia="仿宋_GB2312"/>
      <w:sz w:val="28"/>
    </w:rPr>
  </w:style>
  <w:style w:type="paragraph" w:customStyle="1" w:styleId="66">
    <w:name w:val="Normal Indent1"/>
    <w:basedOn w:val="1"/>
    <w:qFormat/>
    <w:uiPriority w:val="0"/>
    <w:pPr>
      <w:ind w:firstLine="420" w:firstLineChars="200"/>
    </w:pPr>
  </w:style>
  <w:style w:type="paragraph" w:customStyle="1" w:styleId="67">
    <w:name w:val="列表段落1"/>
    <w:basedOn w:val="1"/>
    <w:qFormat/>
    <w:uiPriority w:val="0"/>
    <w:pPr>
      <w:ind w:firstLine="420" w:firstLineChars="200"/>
    </w:pPr>
    <w:rPr>
      <w:rFonts w:ascii="Calibri" w:hAnsi="Calibri"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owhite\Library\Containers\com.kingsoft.wpsoffice.mac\Data\C:\wps\F:\A&#39033;&#30446;&#25991;&#26723;\A&#23454;&#26045;&#39033;&#30446;\12825%20&#26477;&#24030;&#22478;&#24314;&#25237;&#36164;A6\&#32418;&#22836;&#25991;&#20214;\&#22871;&#32418;&#27169;&#29256;%20&#21407;&#31295;\&#22478;&#24314;&#20844;&#25991;&#27169;&#26495;\&#33891;&#20107;&#2025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cjzc</Company>
  <Pages>63</Pages>
  <Words>31370</Words>
  <Characters>33191</Characters>
  <Lines>1</Lines>
  <Paragraphs>1</Paragraphs>
  <TotalTime>3</TotalTime>
  <ScaleCrop>false</ScaleCrop>
  <LinksUpToDate>false</LinksUpToDate>
  <CharactersWithSpaces>34469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2023-11-25T10:00:00Z</dcterms:created>
  <dc:creator>pc</dc:creator>
  <cp:lastModifiedBy>叶茂</cp:lastModifiedBy>
  <cp:lastPrinted>2024-08-26T06:43:00Z</cp:lastPrinted>
  <dcterms:modified xsi:type="dcterms:W3CDTF">2024-10-30T07:15:46Z</dcterms:modified>
  <dc:title>杭州市城市建设资产经营有限公司董事会文件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F9363425093A9F0EDAEDDF66E643D9F7_43</vt:lpwstr>
  </property>
</Properties>
</file>