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lang w:val="en-US" w:eastAsia="zh-CN"/>
        </w:rPr>
        <w:t xml:space="preserve">202101003     </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1</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rPr>
        <w:t>三固</w:t>
      </w:r>
      <w:r>
        <w:rPr>
          <w:rFonts w:hint="eastAsia" w:ascii="仿宋_GB2312" w:eastAsia="仿宋_GB2312"/>
          <w:sz w:val="32"/>
          <w:szCs w:val="32"/>
          <w:u w:val="single"/>
          <w:lang w:eastAsia="zh-CN"/>
        </w:rPr>
        <w:t>项目货架</w:t>
      </w:r>
      <w:r>
        <w:rPr>
          <w:rFonts w:hint="eastAsia" w:ascii="仿宋_GB2312" w:eastAsia="仿宋_GB2312"/>
          <w:sz w:val="32"/>
          <w:szCs w:val="32"/>
          <w:u w:val="single"/>
        </w:rPr>
        <w:t>采购</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w:t>
      </w:r>
      <w:r>
        <w:rPr>
          <w:rFonts w:hint="eastAsia" w:ascii="仿宋_GB2312" w:eastAsia="仿宋_GB2312"/>
          <w:sz w:val="24"/>
          <w:szCs w:val="24"/>
        </w:rPr>
        <w:t>因日常生产需要，需采购</w:t>
      </w:r>
      <w:r>
        <w:rPr>
          <w:rFonts w:hint="eastAsia" w:ascii="仿宋_GB2312" w:eastAsia="仿宋_GB2312"/>
          <w:sz w:val="24"/>
          <w:szCs w:val="24"/>
          <w:lang w:eastAsia="zh-CN"/>
        </w:rPr>
        <w:t>货架</w:t>
      </w:r>
      <w:r>
        <w:rPr>
          <w:rFonts w:hint="eastAsia" w:ascii="仿宋_GB2312" w:eastAsia="仿宋_GB2312"/>
          <w:sz w:val="24"/>
          <w:szCs w:val="24"/>
          <w:lang w:val="en-US" w:eastAsia="zh-CN"/>
        </w:rPr>
        <w:t>34组</w:t>
      </w:r>
      <w:r>
        <w:rPr>
          <w:rFonts w:hint="eastAsia" w:ascii="仿宋_GB2312" w:eastAsia="仿宋_GB2312"/>
          <w:sz w:val="24"/>
          <w:szCs w:val="24"/>
        </w:rPr>
        <w:t>，</w:t>
      </w:r>
      <w:r>
        <w:rPr>
          <w:rFonts w:hint="eastAsia" w:ascii="仿宋_GB2312" w:hAnsi="宋体" w:eastAsia="仿宋_GB2312"/>
          <w:sz w:val="24"/>
          <w:szCs w:val="24"/>
        </w:rPr>
        <w:t>欢迎符合要求的供应商积极参与。</w:t>
      </w:r>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numPr>
          <w:ilvl w:val="0"/>
          <w:numId w:val="0"/>
        </w:numPr>
        <w:snapToGrid w:val="0"/>
        <w:ind w:firstLine="720" w:firstLineChars="300"/>
        <w:jc w:val="left"/>
        <w:rPr>
          <w:rFonts w:hint="eastAsia" w:ascii="仿宋_GB2312" w:eastAsia="仿宋_GB2312"/>
          <w:sz w:val="24"/>
          <w:szCs w:val="24"/>
        </w:rPr>
      </w:pP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项目编号：202101003</w:t>
      </w:r>
    </w:p>
    <w:p>
      <w:pPr>
        <w:numPr>
          <w:ilvl w:val="0"/>
          <w:numId w:val="0"/>
        </w:numPr>
        <w:snapToGrid w:val="0"/>
        <w:ind w:firstLine="720" w:firstLineChars="300"/>
        <w:jc w:val="left"/>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采购内容。详见第三部</w:t>
      </w:r>
    </w:p>
    <w:p>
      <w:pPr>
        <w:numPr>
          <w:ilvl w:val="0"/>
          <w:numId w:val="0"/>
        </w:numPr>
        <w:snapToGrid w:val="0"/>
        <w:ind w:firstLine="720" w:firstLineChars="300"/>
        <w:jc w:val="left"/>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sz w:val="24"/>
          <w:szCs w:val="24"/>
          <w:lang w:val="en-US" w:eastAsia="zh-CN"/>
        </w:rPr>
        <w:t>3.</w:t>
      </w:r>
      <w:r>
        <w:rPr>
          <w:rFonts w:hint="eastAsia" w:ascii="仿宋_GB2312" w:eastAsia="仿宋_GB2312"/>
          <w:color w:val="000000" w:themeColor="text1"/>
          <w:sz w:val="24"/>
          <w:szCs w:val="24"/>
          <w14:textFill>
            <w14:solidFill>
              <w14:schemeClr w14:val="tx1"/>
            </w14:solidFill>
          </w14:textFill>
        </w:rPr>
        <w:t>项目</w:t>
      </w:r>
      <w:r>
        <w:rPr>
          <w:rFonts w:hint="eastAsia" w:ascii="仿宋_GB2312" w:eastAsia="仿宋_GB2312"/>
          <w:color w:val="000000" w:themeColor="text1"/>
          <w:sz w:val="24"/>
          <w:szCs w:val="24"/>
          <w:lang w:eastAsia="zh-CN"/>
          <w14:textFill>
            <w14:solidFill>
              <w14:schemeClr w14:val="tx1"/>
            </w14:solidFill>
          </w14:textFill>
        </w:rPr>
        <w:t>采购总金额限价为</w:t>
      </w:r>
      <w:r>
        <w:rPr>
          <w:rFonts w:hint="eastAsia" w:ascii="仿宋_GB2312" w:eastAsia="仿宋_GB2312"/>
          <w:color w:val="000000" w:themeColor="text1"/>
          <w:sz w:val="24"/>
          <w:szCs w:val="24"/>
          <w:lang w:val="en-US" w:eastAsia="zh-CN"/>
          <w14:textFill>
            <w14:solidFill>
              <w14:schemeClr w14:val="tx1"/>
            </w14:solidFill>
          </w14:textFill>
        </w:rPr>
        <w:t>10.126万元。</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1、投标人必须是在中华人民共和国境内注册，具有独立法人资格和独立承担民事责任的能力，注册资本金50万元（含）以上，且是有能力提供及运输招标文件所规定的货物及服务的产品制造商或</w:t>
      </w:r>
      <w:r>
        <w:rPr>
          <w:rFonts w:hint="eastAsia" w:ascii="仿宋_GB2312" w:eastAsia="仿宋_GB2312"/>
          <w:sz w:val="24"/>
          <w:szCs w:val="24"/>
          <w:lang w:eastAsia="zh-CN"/>
        </w:rPr>
        <w:t>经销商</w:t>
      </w:r>
      <w:r>
        <w:rPr>
          <w:rFonts w:hint="eastAsia" w:ascii="仿宋_GB2312" w:eastAsia="仿宋_GB2312"/>
          <w:sz w:val="24"/>
          <w:szCs w:val="24"/>
        </w:rPr>
        <w:t>；</w:t>
      </w:r>
    </w:p>
    <w:p>
      <w:pPr>
        <w:snapToGrid w:val="0"/>
        <w:ind w:firstLine="585"/>
        <w:jc w:val="left"/>
        <w:rPr>
          <w:rFonts w:hint="eastAsia"/>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、相关的主要业绩证明：投标人提供近两年内至少1例合同金额</w:t>
      </w:r>
      <w:r>
        <w:rPr>
          <w:rFonts w:hint="eastAsia" w:ascii="仿宋_GB2312" w:eastAsia="仿宋_GB2312"/>
          <w:sz w:val="24"/>
          <w:szCs w:val="24"/>
          <w:lang w:val="en-US" w:eastAsia="zh-CN"/>
        </w:rPr>
        <w:t>1</w:t>
      </w:r>
      <w:r>
        <w:rPr>
          <w:rFonts w:hint="eastAsia" w:ascii="仿宋_GB2312" w:eastAsia="仿宋_GB2312"/>
          <w:sz w:val="24"/>
          <w:szCs w:val="24"/>
        </w:rPr>
        <w:t>0万元（含）以上相关物资的合同或中标通知书等（复印件）；</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18</w:t>
      </w:r>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510183657</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hint="eastAsia"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lang w:val="en-US" w:eastAsia="zh-CN"/>
        </w:rPr>
        <w:t>2021</w:t>
      </w:r>
      <w:r>
        <w:rPr>
          <w:rFonts w:hint="eastAsia" w:ascii="仿宋_GB2312" w:eastAsia="仿宋_GB2312"/>
          <w:sz w:val="24"/>
          <w:szCs w:val="24"/>
        </w:rPr>
        <w:t>年</w:t>
      </w:r>
      <w:r>
        <w:rPr>
          <w:rFonts w:hint="eastAsia" w:ascii="仿宋_GB2312" w:eastAsia="仿宋_GB2312"/>
          <w:sz w:val="24"/>
          <w:szCs w:val="24"/>
          <w:lang w:val="en-US" w:eastAsia="zh-CN"/>
        </w:rPr>
        <w:t xml:space="preserve"> 1</w:t>
      </w:r>
      <w:r>
        <w:rPr>
          <w:rFonts w:hint="eastAsia" w:ascii="仿宋_GB2312" w:eastAsia="仿宋_GB2312"/>
          <w:sz w:val="24"/>
          <w:szCs w:val="24"/>
        </w:rPr>
        <w:t>月</w:t>
      </w:r>
      <w:r>
        <w:rPr>
          <w:rFonts w:hint="eastAsia" w:ascii="仿宋_GB2312" w:eastAsia="仿宋_GB2312"/>
          <w:sz w:val="24"/>
          <w:szCs w:val="24"/>
          <w:lang w:val="en-US" w:eastAsia="zh-CN"/>
        </w:rPr>
        <w:t>22</w:t>
      </w:r>
      <w:r>
        <w:rPr>
          <w:rFonts w:hint="eastAsia" w:ascii="仿宋_GB2312" w:eastAsia="仿宋_GB2312"/>
          <w:sz w:val="24"/>
          <w:szCs w:val="24"/>
        </w:rPr>
        <w:t>日1</w:t>
      </w:r>
      <w:r>
        <w:rPr>
          <w:rFonts w:hint="eastAsia" w:ascii="仿宋_GB2312" w:eastAsia="仿宋_GB2312"/>
          <w:sz w:val="24"/>
          <w:szCs w:val="24"/>
          <w:lang w:val="en-US" w:eastAsia="zh-CN"/>
        </w:rPr>
        <w:t>0</w:t>
      </w:r>
      <w:r>
        <w:rPr>
          <w:rFonts w:hint="eastAsia" w:ascii="仿宋_GB2312" w:eastAsia="仿宋_GB2312"/>
          <w:sz w:val="24"/>
          <w:szCs w:val="24"/>
        </w:rPr>
        <w:t>:00。</w:t>
      </w:r>
    </w:p>
    <w:p>
      <w:pPr>
        <w:numPr>
          <w:ilvl w:val="0"/>
          <w:numId w:val="3"/>
        </w:numPr>
        <w:adjustRightInd w:val="0"/>
        <w:snapToGrid w:val="0"/>
        <w:ind w:left="482" w:firstLine="0"/>
        <w:jc w:val="left"/>
        <w:rPr>
          <w:rFonts w:hint="eastAsia"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eastAsia="zh-CN"/>
        </w:rPr>
        <w:t>杭州市钱塘新区临江街道红十五线与观十五线交叉口（杭州临江环境能源有限公司前期部）</w:t>
      </w:r>
      <w:r>
        <w:rPr>
          <w:rFonts w:hint="eastAsia" w:ascii="仿宋_GB2312" w:eastAsia="仿宋_GB2312"/>
          <w:sz w:val="24"/>
          <w:szCs w:val="24"/>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rPr>
      </w:pPr>
      <w:r>
        <w:rPr>
          <w:rFonts w:hint="eastAsia" w:ascii="仿宋_GB2312" w:eastAsia="仿宋_GB2312"/>
          <w:sz w:val="24"/>
          <w:szCs w:val="24"/>
        </w:rPr>
        <w:t>六、联系人：</w:t>
      </w:r>
      <w:r>
        <w:rPr>
          <w:rFonts w:hint="eastAsia" w:ascii="仿宋_GB2312" w:eastAsia="仿宋_GB2312"/>
          <w:sz w:val="24"/>
          <w:szCs w:val="24"/>
          <w:lang w:eastAsia="zh-CN"/>
        </w:rPr>
        <w:t>叶工</w:t>
      </w:r>
      <w:r>
        <w:rPr>
          <w:rFonts w:hint="eastAsia" w:ascii="仿宋_GB2312" w:eastAsia="仿宋_GB2312"/>
          <w:sz w:val="24"/>
          <w:szCs w:val="24"/>
        </w:rPr>
        <w:t xml:space="preserve">    联系电话：</w:t>
      </w:r>
      <w:r>
        <w:rPr>
          <w:rFonts w:hint="eastAsia" w:ascii="仿宋_GB2312" w:eastAsia="仿宋_GB2312"/>
          <w:sz w:val="24"/>
          <w:szCs w:val="24"/>
          <w:lang w:val="en-US" w:eastAsia="zh-CN"/>
        </w:rPr>
        <w:t>18458245764</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11</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lang w:eastAsia="zh-CN"/>
        </w:rPr>
        <w:t>五</w:t>
      </w:r>
      <w:r>
        <w:rPr>
          <w:rFonts w:hint="eastAsia" w:ascii="仿宋_GB2312" w:eastAsia="仿宋_GB2312"/>
          <w:bCs/>
          <w:sz w:val="24"/>
          <w:szCs w:val="24"/>
        </w:rPr>
        <w:t>、报价文件的组成。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4.产品质量保证承诺函（附件四）；</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rPr>
        <w:t>5.有效资质证明并加盖公章：通过年检的营业执照复印件。</w:t>
      </w: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firstLine="480" w:firstLineChars="200"/>
        <w:rPr>
          <w:rFonts w:hint="default" w:ascii="仿宋_GB2312" w:eastAsia="仿宋_GB2312"/>
          <w:bCs/>
          <w:sz w:val="24"/>
          <w:szCs w:val="24"/>
          <w:lang w:val="en-US" w:eastAsia="zh-CN"/>
        </w:rPr>
      </w:pPr>
      <w:r>
        <w:rPr>
          <w:rFonts w:hint="eastAsia" w:ascii="仿宋_GB2312" w:eastAsia="仿宋_GB2312"/>
          <w:bCs/>
          <w:sz w:val="24"/>
          <w:szCs w:val="24"/>
          <w:lang w:val="en-US" w:eastAsia="zh-CN"/>
        </w:rPr>
        <w:t>6.承诺函（若有报价单位代表因故不能到达现场开标的，须出具书面承诺函，不得对询价结果有异议）。若报价单位安排人员到达现场，此项不需要。</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lang w:eastAsia="zh-CN"/>
        </w:rPr>
        <w:t>六</w:t>
      </w:r>
      <w:r>
        <w:rPr>
          <w:rFonts w:hint="eastAsia" w:ascii="仿宋_GB2312" w:eastAsia="仿宋_GB2312"/>
          <w:bCs/>
          <w:sz w:val="24"/>
          <w:szCs w:val="24"/>
        </w:rPr>
        <w:t>、报价文件的签署和份</w:t>
      </w:r>
      <w:r>
        <w:rPr>
          <w:rFonts w:hint="eastAsia" w:ascii="仿宋_GB2312" w:eastAsia="仿宋_GB2312"/>
          <w:sz w:val="24"/>
          <w:szCs w:val="24"/>
        </w:rPr>
        <w:t>数。</w:t>
      </w:r>
      <w:bookmarkStart w:id="13" w:name="_GoBack"/>
      <w:bookmarkEnd w:id="13"/>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lang w:eastAsia="zh-CN"/>
        </w:rPr>
        <w:t>九</w:t>
      </w:r>
      <w:r>
        <w:rPr>
          <w:rFonts w:hint="eastAsia" w:ascii="仿宋_GB2312" w:eastAsia="仿宋_GB2312"/>
          <w:sz w:val="24"/>
          <w:szCs w:val="24"/>
        </w:rPr>
        <w:t>、无效报价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四</w:t>
      </w:r>
      <w:r>
        <w:rPr>
          <w:rFonts w:hint="eastAsia" w:ascii="仿宋_GB2312" w:eastAsia="仿宋_GB2312"/>
          <w:sz w:val="24"/>
          <w:szCs w:val="24"/>
        </w:rPr>
        <w:t>）报价超过最高限价的。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五</w:t>
      </w:r>
      <w:r>
        <w:rPr>
          <w:rFonts w:hint="eastAsia" w:ascii="仿宋_GB2312" w:eastAsia="仿宋_GB2312"/>
          <w:sz w:val="24"/>
          <w:szCs w:val="24"/>
        </w:rPr>
        <w:t>）所提供的资料存在弄虚作假的。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六</w:t>
      </w:r>
      <w:r>
        <w:rPr>
          <w:rFonts w:hint="eastAsia" w:ascii="仿宋_GB2312" w:eastAsia="仿宋_GB2312"/>
          <w:sz w:val="24"/>
          <w:szCs w:val="24"/>
        </w:rPr>
        <w:t>）不符合法律、法规和本询价文件规定的其他要求的。</w:t>
      </w:r>
    </w:p>
    <w:p>
      <w:pPr>
        <w:snapToGrid w:val="0"/>
        <w:ind w:right="-176" w:rightChars="-84" w:firstLine="240" w:firstLineChars="100"/>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w:t>
      </w:r>
      <w:r>
        <w:rPr>
          <w:rFonts w:hint="eastAsia" w:ascii="仿宋_GB2312" w:eastAsia="仿宋_GB2312"/>
          <w:sz w:val="24"/>
          <w:szCs w:val="24"/>
        </w:rPr>
        <w:t>、询价过程。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hint="eastAsia"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hint="eastAsia"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十一</w:t>
      </w:r>
      <w:r>
        <w:rPr>
          <w:rFonts w:hint="eastAsia" w:ascii="仿宋_GB2312" w:eastAsia="仿宋_GB2312"/>
          <w:sz w:val="24"/>
          <w:szCs w:val="24"/>
        </w:rPr>
        <w:t>、成交原则与方法。</w:t>
      </w:r>
    </w:p>
    <w:p>
      <w:pPr>
        <w:snapToGrid w:val="0"/>
        <w:ind w:firstLine="480" w:firstLineChars="200"/>
        <w:jc w:val="left"/>
        <w:rPr>
          <w:rFonts w:hint="eastAsia" w:ascii="仿宋_GB2312" w:eastAsia="仿宋_GB2312"/>
          <w:sz w:val="24"/>
          <w:szCs w:val="24"/>
          <w:lang w:eastAsia="zh-CN"/>
        </w:rPr>
      </w:pPr>
      <w:r>
        <w:rPr>
          <w:rFonts w:hint="eastAsia" w:ascii="仿宋_GB2312" w:eastAsia="仿宋_GB2312"/>
          <w:sz w:val="24"/>
          <w:szCs w:val="24"/>
        </w:rPr>
        <w:t>（一）采购人组织评审小组对各单位的报价资料进行审核，在满足采购人要求的前提下，按经评审通过后</w:t>
      </w:r>
      <w:r>
        <w:rPr>
          <w:rFonts w:hint="eastAsia" w:ascii="仿宋_GB2312" w:eastAsia="仿宋_GB2312"/>
          <w:sz w:val="24"/>
          <w:szCs w:val="24"/>
          <w:lang w:eastAsia="zh-CN"/>
        </w:rPr>
        <w:t>总金额</w:t>
      </w:r>
      <w:r>
        <w:rPr>
          <w:rFonts w:hint="eastAsia" w:ascii="仿宋_GB2312" w:eastAsia="仿宋_GB2312"/>
          <w:sz w:val="24"/>
          <w:szCs w:val="24"/>
        </w:rPr>
        <w:t>最低价成交的原则确定成交供应商。如果出现相同</w:t>
      </w:r>
      <w:r>
        <w:rPr>
          <w:rFonts w:hint="eastAsia" w:ascii="仿宋_GB2312" w:eastAsia="仿宋_GB2312"/>
          <w:sz w:val="24"/>
          <w:szCs w:val="24"/>
          <w:lang w:eastAsia="zh-CN"/>
        </w:rPr>
        <w:t>总金额</w:t>
      </w:r>
      <w:r>
        <w:rPr>
          <w:rFonts w:hint="eastAsia" w:ascii="仿宋_GB2312" w:eastAsia="仿宋_GB2312"/>
          <w:sz w:val="24"/>
          <w:szCs w:val="24"/>
        </w:rPr>
        <w:t>最低报价情况时，</w:t>
      </w:r>
      <w:r>
        <w:rPr>
          <w:rFonts w:hint="eastAsia" w:ascii="仿宋_GB2312" w:eastAsia="仿宋_GB2312"/>
          <w:sz w:val="24"/>
          <w:szCs w:val="24"/>
          <w:lang w:eastAsia="zh-CN"/>
        </w:rPr>
        <w:t>总金额</w:t>
      </w:r>
      <w:r>
        <w:rPr>
          <w:rFonts w:hint="eastAsia" w:ascii="仿宋_GB2312" w:eastAsia="仿宋_GB2312"/>
          <w:sz w:val="24"/>
          <w:szCs w:val="24"/>
        </w:rPr>
        <w:t>最低报价相同的供应商再进行一轮报价。如报价再相同，则由采购人抽签决定成交单位。</w:t>
      </w:r>
      <w:r>
        <w:rPr>
          <w:rFonts w:hint="eastAsia" w:ascii="仿宋_GB2312" w:eastAsia="仿宋_GB2312"/>
          <w:b/>
          <w:bCs/>
          <w:sz w:val="24"/>
          <w:szCs w:val="24"/>
          <w:lang w:eastAsia="zh-CN"/>
        </w:rPr>
        <w:t>（若出现税率不一致的情况，以除税价相对比）</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10"/>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w:t>
      </w:r>
      <w:r>
        <w:rPr>
          <w:rFonts w:hint="eastAsia" w:ascii="仿宋_GB2312" w:eastAsia="仿宋_GB2312"/>
          <w:sz w:val="24"/>
          <w:szCs w:val="24"/>
          <w:lang w:eastAsia="zh-CN"/>
        </w:rPr>
        <w:t>二</w:t>
      </w:r>
      <w:r>
        <w:rPr>
          <w:rFonts w:hint="eastAsia" w:ascii="仿宋_GB2312" w:eastAsia="仿宋_GB2312"/>
          <w:sz w:val="24"/>
          <w:szCs w:val="24"/>
        </w:rPr>
        <w:t>、合同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w:t>
      </w:r>
      <w:r>
        <w:rPr>
          <w:rFonts w:hint="eastAsia" w:ascii="仿宋_GB2312" w:hAnsi="宋体" w:eastAsia="仿宋_GB2312"/>
          <w:sz w:val="24"/>
          <w:szCs w:val="24"/>
          <w:lang w:eastAsia="zh-CN"/>
        </w:rPr>
        <w:t>三</w:t>
      </w:r>
      <w:r>
        <w:rPr>
          <w:rFonts w:hint="eastAsia" w:ascii="仿宋_GB2312" w:hAnsi="宋体" w:eastAsia="仿宋_GB2312"/>
          <w:sz w:val="24"/>
          <w:szCs w:val="24"/>
        </w:rPr>
        <w:t>、其他。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2"/>
        </w:numPr>
        <w:adjustRightInd w:val="0"/>
        <w:snapToGrid w:val="0"/>
        <w:jc w:val="left"/>
        <w:textAlignment w:val="baseline"/>
        <w:rPr>
          <w:rFonts w:hint="eastAsia" w:ascii="仿宋_GB2312" w:eastAsia="仿宋_GB2312"/>
          <w:sz w:val="24"/>
          <w:szCs w:val="24"/>
          <w:lang w:val="en-US" w:eastAsia="zh-CN"/>
        </w:rPr>
      </w:pPr>
      <w:r>
        <w:rPr>
          <w:rFonts w:hint="eastAsia" w:ascii="仿宋_GB2312" w:eastAsia="仿宋_GB2312"/>
          <w:sz w:val="24"/>
          <w:szCs w:val="24"/>
        </w:rPr>
        <w:t>采购内容及相关说明</w:t>
      </w:r>
      <w:r>
        <w:rPr>
          <w:rFonts w:hint="eastAsia" w:ascii="仿宋_GB2312" w:eastAsia="仿宋_GB2312"/>
          <w:sz w:val="24"/>
          <w:szCs w:val="24"/>
          <w:lang w:eastAsia="zh-CN"/>
        </w:rPr>
        <w:t>：</w:t>
      </w:r>
    </w:p>
    <w:p>
      <w:pPr>
        <w:numPr>
          <w:ilvl w:val="0"/>
          <w:numId w:val="0"/>
        </w:numPr>
        <w:adjustRightInd w:val="0"/>
        <w:snapToGrid w:val="0"/>
        <w:ind w:left="585" w:leftChars="0"/>
        <w:jc w:val="left"/>
        <w:textAlignment w:val="baseline"/>
        <w:rPr>
          <w:rFonts w:hint="eastAsia" w:ascii="仿宋_GB2312" w:eastAsia="仿宋_GB2312"/>
          <w:sz w:val="24"/>
          <w:szCs w:val="24"/>
          <w:lang w:eastAsia="zh-CN"/>
        </w:rPr>
      </w:pPr>
    </w:p>
    <w:tbl>
      <w:tblPr>
        <w:tblStyle w:val="6"/>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384"/>
        <w:gridCol w:w="3067"/>
        <w:gridCol w:w="903"/>
        <w:gridCol w:w="705"/>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49"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384"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名称</w:t>
            </w:r>
          </w:p>
        </w:tc>
        <w:tc>
          <w:tcPr>
            <w:tcW w:w="3067" w:type="dxa"/>
            <w:noWrap w:val="0"/>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规格</w:t>
            </w:r>
          </w:p>
        </w:tc>
        <w:tc>
          <w:tcPr>
            <w:tcW w:w="903"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705"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w:t>
            </w:r>
          </w:p>
        </w:tc>
        <w:tc>
          <w:tcPr>
            <w:tcW w:w="2279"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9"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1</w:t>
            </w:r>
          </w:p>
        </w:tc>
        <w:tc>
          <w:tcPr>
            <w:tcW w:w="138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仓库货架</w:t>
            </w:r>
          </w:p>
        </w:tc>
        <w:tc>
          <w:tcPr>
            <w:tcW w:w="3067" w:type="dxa"/>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L1520*W650*H2000mm,单层承重不小于300kg，蓝色喷塑</w:t>
            </w:r>
          </w:p>
        </w:tc>
        <w:tc>
          <w:tcPr>
            <w:tcW w:w="90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组</w:t>
            </w:r>
          </w:p>
        </w:tc>
        <w:tc>
          <w:tcPr>
            <w:tcW w:w="705" w:type="dxa"/>
            <w:noWrap w:val="0"/>
            <w:vAlign w:val="center"/>
          </w:tcPr>
          <w:p>
            <w:pPr>
              <w:snapToGrid w:val="0"/>
              <w:jc w:val="center"/>
              <w:rPr>
                <w:rFonts w:hint="default" w:ascii="仿宋_GB2312" w:hAnsi="宋体" w:eastAsia="仿宋_GB2312" w:cs="宋体"/>
                <w:color w:val="000000"/>
                <w:sz w:val="24"/>
                <w:szCs w:val="24"/>
                <w:lang w:val="en-US"/>
              </w:rPr>
            </w:pPr>
            <w:r>
              <w:rPr>
                <w:rFonts w:hint="eastAsia" w:ascii="仿宋_GB2312" w:hAnsi="宋体" w:eastAsia="仿宋_GB2312" w:cs="宋体"/>
                <w:color w:val="000000"/>
                <w:sz w:val="24"/>
                <w:szCs w:val="24"/>
                <w:lang w:val="en-US" w:eastAsia="zh-CN"/>
              </w:rPr>
              <w:t>34</w:t>
            </w:r>
          </w:p>
        </w:tc>
        <w:tc>
          <w:tcPr>
            <w:tcW w:w="2279" w:type="dxa"/>
            <w:noWrap w:val="0"/>
            <w:vAlign w:val="center"/>
          </w:tcPr>
          <w:p>
            <w:pPr>
              <w:widowControl/>
              <w:snapToGrid w:val="0"/>
              <w:jc w:val="center"/>
              <w:rPr>
                <w:rFonts w:hint="default" w:ascii="仿宋_GB2312" w:hAnsi="宋体" w:eastAsia="仿宋_GB2312" w:cs="宋体"/>
                <w:kern w:val="0"/>
                <w:sz w:val="24"/>
                <w:szCs w:val="24"/>
                <w:lang w:val="en-US" w:eastAsia="zh-CN"/>
              </w:rPr>
            </w:pPr>
          </w:p>
        </w:tc>
      </w:tr>
    </w:tbl>
    <w:p>
      <w:pPr>
        <w:pStyle w:val="10"/>
        <w:numPr>
          <w:ilvl w:val="0"/>
          <w:numId w:val="0"/>
        </w:numPr>
        <w:snapToGrid w:val="0"/>
        <w:spacing w:line="240" w:lineRule="auto"/>
        <w:rPr>
          <w:rFonts w:hint="eastAsia" w:ascii="仿宋_GB2312" w:eastAsia="仿宋_GB2312"/>
          <w:sz w:val="24"/>
          <w:szCs w:val="24"/>
          <w:lang w:val="en-US" w:eastAsia="zh-CN"/>
        </w:rPr>
      </w:pPr>
      <w:r>
        <w:rPr>
          <w:rFonts w:hint="eastAsia" w:ascii="仿宋_GB2312" w:eastAsia="仿宋_GB2312"/>
          <w:b/>
          <w:bCs/>
          <w:sz w:val="24"/>
          <w:szCs w:val="24"/>
          <w:lang w:val="en-US" w:eastAsia="zh-CN"/>
        </w:rPr>
        <w:t>技术要求：</w:t>
      </w:r>
      <w:r>
        <w:rPr>
          <w:rFonts w:hint="eastAsia" w:ascii="仿宋_GB2312" w:eastAsia="仿宋_GB2312"/>
          <w:sz w:val="24"/>
          <w:szCs w:val="24"/>
          <w:lang w:val="en-US" w:eastAsia="zh-CN"/>
        </w:rPr>
        <w:t xml:space="preserve"> </w:t>
      </w:r>
    </w:p>
    <w:p>
      <w:pPr>
        <w:pStyle w:val="10"/>
        <w:numPr>
          <w:ilvl w:val="0"/>
          <w:numId w:val="4"/>
        </w:numPr>
        <w:snapToGrid w:val="0"/>
        <w:spacing w:line="240" w:lineRule="auto"/>
        <w:rPr>
          <w:rFonts w:hint="eastAsia" w:ascii="仿宋_GB2312" w:eastAsia="仿宋_GB2312"/>
          <w:sz w:val="24"/>
          <w:szCs w:val="24"/>
          <w:lang w:val="en-US" w:eastAsia="zh-CN"/>
        </w:rPr>
      </w:pPr>
      <w:r>
        <w:rPr>
          <w:rFonts w:hint="eastAsia" w:ascii="仿宋_GB2312" w:eastAsia="仿宋_GB2312"/>
          <w:sz w:val="24"/>
          <w:szCs w:val="24"/>
          <w:lang w:val="en-US" w:eastAsia="zh-CN"/>
        </w:rPr>
        <w:t>货架需满足国家相对应的技术标准，油漆满足以下要求：所有部件涂层厚度：货架采用全自动喷涂流水线，表面经脱脂-磷化后再静电喷涂，涂料采用热固环氧树脂粉状，涂层厚度 80 微米（允许偏差 70-90）微米），其质量均按国标 GB8932-88 及 GB9266-88 标准。喷塑表面应光洁、平滑，无缩孔、花泡、剥落现象。涂层表面：光洁、平整、色泽一致；丰满平滑，无色差，不允许出现缩孔、包花等现象，静电喷粉附着力达到 GB/T6739-1996 标准中 0 级要求 。</w:t>
      </w:r>
    </w:p>
    <w:p>
      <w:pPr>
        <w:pStyle w:val="10"/>
        <w:numPr>
          <w:ilvl w:val="0"/>
          <w:numId w:val="4"/>
        </w:numPr>
        <w:snapToGrid w:val="0"/>
        <w:spacing w:line="240" w:lineRule="auto"/>
        <w:rPr>
          <w:rFonts w:hint="eastAsia" w:ascii="仿宋_GB2312" w:eastAsia="仿宋_GB2312"/>
          <w:sz w:val="24"/>
          <w:szCs w:val="24"/>
          <w:lang w:val="en-US" w:eastAsia="zh-CN"/>
        </w:rPr>
      </w:pPr>
      <w:r>
        <w:rPr>
          <w:rFonts w:hint="eastAsia" w:ascii="仿宋_GB2312" w:eastAsia="仿宋_GB2312"/>
          <w:sz w:val="24"/>
          <w:szCs w:val="24"/>
          <w:lang w:val="en-US" w:eastAsia="zh-CN"/>
        </w:rPr>
        <w:t>货架基本参数：货架为五层横梁层板（含顶板），每层承载：大于 300KG；</w:t>
      </w:r>
    </w:p>
    <w:p>
      <w:pPr>
        <w:pStyle w:val="10"/>
        <w:numPr>
          <w:ilvl w:val="0"/>
          <w:numId w:val="4"/>
        </w:numPr>
        <w:snapToGrid w:val="0"/>
        <w:spacing w:line="240" w:lineRule="auto"/>
        <w:rPr>
          <w:rFonts w:hint="default" w:ascii="仿宋_GB2312" w:eastAsia="仿宋_GB2312"/>
          <w:color w:val="auto"/>
          <w:kern w:val="2"/>
          <w:sz w:val="24"/>
          <w:szCs w:val="24"/>
          <w:u w:val="none" w:color="auto"/>
          <w:lang w:val="en-US" w:eastAsia="zh-CN"/>
        </w:rPr>
      </w:pPr>
      <w:r>
        <w:rPr>
          <w:rFonts w:hint="eastAsia" w:ascii="仿宋_GB2312" w:eastAsia="仿宋_GB2312"/>
          <w:sz w:val="24"/>
          <w:szCs w:val="24"/>
          <w:lang w:val="en-US" w:eastAsia="zh-CN"/>
        </w:rPr>
        <w:t>货架基本选材：立柱 55*47*1.5mm，横梁 P60*40*1.5mm，层板：0.7mm，二板二筋。</w:t>
      </w:r>
      <w:r>
        <w:rPr>
          <w:rFonts w:hint="eastAsia" w:ascii="仿宋_GB2312" w:eastAsia="仿宋_GB2312"/>
          <w:b/>
          <w:bCs/>
          <w:sz w:val="24"/>
          <w:szCs w:val="24"/>
          <w:lang w:val="en-US" w:eastAsia="zh-CN"/>
        </w:rPr>
        <w:t>具体组合方式详见图纸（详见附件六）</w:t>
      </w:r>
      <w:r>
        <w:rPr>
          <w:rFonts w:hint="eastAsia" w:ascii="仿宋_GB2312" w:eastAsia="仿宋_GB2312"/>
          <w:sz w:val="24"/>
          <w:szCs w:val="24"/>
          <w:lang w:val="en-US" w:eastAsia="zh-CN"/>
        </w:rPr>
        <w:t>。</w:t>
      </w:r>
    </w:p>
    <w:p>
      <w:pPr>
        <w:pStyle w:val="10"/>
        <w:numPr>
          <w:ilvl w:val="0"/>
          <w:numId w:val="5"/>
        </w:numPr>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供货方式</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本项目根据采购人实际需要，</w:t>
      </w:r>
      <w:r>
        <w:rPr>
          <w:rFonts w:hint="eastAsia" w:ascii="仿宋_GB2312" w:eastAsia="仿宋_GB2312"/>
          <w:color w:val="auto"/>
          <w:kern w:val="2"/>
          <w:sz w:val="24"/>
          <w:szCs w:val="24"/>
          <w:u w:val="none" w:color="auto"/>
          <w:lang w:eastAsia="zh-CN"/>
        </w:rPr>
        <w:t>一次性供货</w:t>
      </w:r>
      <w:r>
        <w:rPr>
          <w:rFonts w:hint="eastAsia" w:ascii="仿宋_GB2312" w:eastAsia="仿宋_GB2312"/>
          <w:color w:val="auto"/>
          <w:kern w:val="2"/>
          <w:sz w:val="24"/>
          <w:szCs w:val="24"/>
          <w:u w:val="none" w:color="auto"/>
        </w:rPr>
        <w:t>。供应商接到采购人送货通知后，</w:t>
      </w:r>
      <w:r>
        <w:rPr>
          <w:rFonts w:hint="eastAsia" w:ascii="仿宋_GB2312" w:eastAsia="仿宋_GB2312"/>
          <w:color w:val="auto"/>
          <w:kern w:val="2"/>
          <w:sz w:val="24"/>
          <w:szCs w:val="24"/>
          <w:u w:val="none" w:color="auto"/>
          <w:lang w:val="en-US" w:eastAsia="zh-CN"/>
        </w:rPr>
        <w:t>20</w:t>
      </w:r>
      <w:r>
        <w:rPr>
          <w:rFonts w:hint="eastAsia" w:ascii="仿宋_GB2312" w:eastAsia="仿宋_GB2312"/>
          <w:color w:val="auto"/>
          <w:kern w:val="2"/>
          <w:sz w:val="24"/>
          <w:szCs w:val="24"/>
          <w:u w:val="none" w:color="auto"/>
        </w:rPr>
        <w:t>日内将货物如数送至采购人指定地点</w:t>
      </w:r>
      <w:r>
        <w:rPr>
          <w:rFonts w:hint="eastAsia" w:ascii="仿宋_GB2312" w:eastAsia="仿宋_GB2312"/>
          <w:color w:val="auto"/>
          <w:kern w:val="2"/>
          <w:sz w:val="24"/>
          <w:szCs w:val="24"/>
          <w:u w:val="none" w:color="auto"/>
          <w:lang w:eastAsia="zh-CN"/>
        </w:rPr>
        <w:t>并完成组装验收工作（安装人员食宿自理）</w:t>
      </w:r>
      <w:r>
        <w:rPr>
          <w:rFonts w:hint="eastAsia" w:ascii="仿宋_GB2312" w:eastAsia="仿宋_GB2312"/>
          <w:color w:val="auto"/>
          <w:kern w:val="2"/>
          <w:sz w:val="24"/>
          <w:szCs w:val="24"/>
          <w:u w:val="none" w:color="auto"/>
        </w:rPr>
        <w:t>。采购人可根据实际使用情况调整采购总量。</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采购人提供经双方确认的送货清单及增值税专用发票，采购人自收到准确清单和发票后，于次月完成货款支付。</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2.供应商自行协调处理与属地运输、公安等部门之间的关系，确保供货渠道畅通、不得影响招标人正常生产。</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3.采购人不再对任何售后服务进行付费。供应商的派遣人员产生的一切费用由供应商承担。</w:t>
      </w:r>
    </w:p>
    <w:p>
      <w:pPr>
        <w:pStyle w:val="3"/>
        <w:numPr>
          <w:ilvl w:val="0"/>
          <w:numId w:val="0"/>
        </w:numPr>
        <w:jc w:val="center"/>
        <w:rPr>
          <w:rFonts w:hint="eastAsia" w:ascii="仿宋_GB2312" w:eastAsia="仿宋_GB2312"/>
          <w:snapToGrid w:val="0"/>
          <w:sz w:val="44"/>
          <w:szCs w:val="44"/>
        </w:rPr>
      </w:pPr>
      <w:r>
        <w:rPr>
          <w:rFonts w:hint="eastAsia" w:eastAsia="仿宋_GB2312"/>
          <w:lang w:val="en-US" w:eastAsia="zh-CN"/>
        </w:rPr>
        <w:t xml:space="preserve">     </w:t>
      </w: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202101003</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21</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1"/>
          <w:rFonts w:hint="eastAsia" w:ascii="仿宋_GB2312" w:eastAsia="仿宋_GB2312"/>
          <w:sz w:val="30"/>
        </w:rPr>
      </w:pPr>
      <w:r>
        <w:rPr>
          <w:rStyle w:val="11"/>
          <w:rFonts w:ascii="仿宋_GB2312" w:eastAsia="仿宋_GB2312"/>
          <w:sz w:val="30"/>
        </w:rPr>
        <w:br w:type="page"/>
      </w:r>
      <w:r>
        <w:rPr>
          <w:rStyle w:val="1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lang w:val="en-US" w:eastAsia="zh-CN"/>
        </w:rPr>
        <w:t>202101003</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1"/>
          <w:rFonts w:hint="eastAsia"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1"/>
          <w:rFonts w:hint="eastAsia" w:ascii="仿宋_GB2312" w:eastAsia="仿宋_GB2312"/>
          <w:sz w:val="30"/>
        </w:rPr>
      </w:pPr>
      <w:r>
        <w:rPr>
          <w:rStyle w:val="11"/>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2"/>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u w:val="single"/>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 xml:space="preserve">根据贵单位询价文件要求，参加  </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p>
    <w:p>
      <w:pPr>
        <w:snapToGrid w:val="0"/>
        <w:ind w:firstLine="480" w:firstLineChars="200"/>
        <w:jc w:val="left"/>
        <w:rPr>
          <w:rFonts w:hint="eastAsia" w:ascii="仿宋_GB2312" w:eastAsia="仿宋_GB2312"/>
          <w:sz w:val="24"/>
          <w:szCs w:val="24"/>
          <w:u w:val="single"/>
          <w:lang w:val="en-US" w:eastAsia="zh-CN"/>
        </w:rPr>
      </w:pP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，报价如下：（金额单位：</w:t>
      </w:r>
      <w:r>
        <w:rPr>
          <w:rFonts w:hint="eastAsia" w:ascii="仿宋_GB2312" w:eastAsia="仿宋_GB2312"/>
          <w:sz w:val="24"/>
          <w:szCs w:val="24"/>
          <w:lang w:val="en-US" w:eastAsia="zh-CN"/>
        </w:rPr>
        <w:t xml:space="preserve">     </w:t>
      </w:r>
      <w:r>
        <w:rPr>
          <w:rFonts w:hint="eastAsia" w:ascii="仿宋_GB2312" w:eastAsia="仿宋_GB2312"/>
          <w:sz w:val="24"/>
          <w:szCs w:val="24"/>
        </w:rPr>
        <w:t>元</w:t>
      </w:r>
      <w:r>
        <w:rPr>
          <w:rFonts w:hint="eastAsia" w:ascii="仿宋_GB2312" w:eastAsia="仿宋_GB2312"/>
          <w:sz w:val="24"/>
          <w:szCs w:val="24"/>
          <w:lang w:eastAsia="zh-CN"/>
        </w:rPr>
        <w:t>，税率为</w:t>
      </w:r>
      <w:r>
        <w:rPr>
          <w:rFonts w:hint="eastAsia" w:ascii="仿宋_GB2312" w:eastAsia="仿宋_GB2312"/>
          <w:sz w:val="24"/>
          <w:szCs w:val="24"/>
          <w:lang w:val="en-US" w:eastAsia="zh-CN"/>
        </w:rPr>
        <w:t xml:space="preserve">     %</w:t>
      </w:r>
      <w:r>
        <w:rPr>
          <w:rFonts w:hint="eastAsia" w:ascii="仿宋_GB2312" w:eastAsia="仿宋_GB2312"/>
          <w:sz w:val="24"/>
          <w:szCs w:val="24"/>
        </w:rPr>
        <w:t>）</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lang w:val="en-US" w:eastAsia="zh-CN"/>
        </w:rPr>
      </w:pPr>
    </w:p>
    <w:tbl>
      <w:tblPr>
        <w:tblStyle w:val="6"/>
        <w:tblW w:w="916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34"/>
        <w:gridCol w:w="2516"/>
        <w:gridCol w:w="783"/>
        <w:gridCol w:w="717"/>
        <w:gridCol w:w="816"/>
        <w:gridCol w:w="85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134"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名称</w:t>
            </w:r>
          </w:p>
        </w:tc>
        <w:tc>
          <w:tcPr>
            <w:tcW w:w="2516" w:type="dxa"/>
            <w:noWrap w:val="0"/>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规格</w:t>
            </w:r>
          </w:p>
        </w:tc>
        <w:tc>
          <w:tcPr>
            <w:tcW w:w="783"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71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w:t>
            </w:r>
          </w:p>
        </w:tc>
        <w:tc>
          <w:tcPr>
            <w:tcW w:w="816" w:type="dxa"/>
            <w:noWrap/>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单价（元）</w:t>
            </w:r>
          </w:p>
        </w:tc>
        <w:tc>
          <w:tcPr>
            <w:tcW w:w="850" w:type="dxa"/>
            <w:noWrap/>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总价（元）</w:t>
            </w:r>
          </w:p>
        </w:tc>
        <w:tc>
          <w:tcPr>
            <w:tcW w:w="1634"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1</w:t>
            </w:r>
          </w:p>
        </w:tc>
        <w:tc>
          <w:tcPr>
            <w:tcW w:w="113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仓库货架（五金）</w:t>
            </w:r>
          </w:p>
        </w:tc>
        <w:tc>
          <w:tcPr>
            <w:tcW w:w="2516"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L1520*W650*H2000mm,单层承重不小于300kg，蓝色喷塑</w:t>
            </w:r>
          </w:p>
        </w:tc>
        <w:tc>
          <w:tcPr>
            <w:tcW w:w="78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组</w:t>
            </w:r>
          </w:p>
        </w:tc>
        <w:tc>
          <w:tcPr>
            <w:tcW w:w="717" w:type="dxa"/>
            <w:noWrap w:val="0"/>
            <w:vAlign w:val="center"/>
          </w:tcPr>
          <w:p>
            <w:pPr>
              <w:snapToGrid w:val="0"/>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lang w:val="en-US" w:eastAsia="zh-CN"/>
              </w:rPr>
              <w:t>17</w:t>
            </w:r>
          </w:p>
        </w:tc>
        <w:tc>
          <w:tcPr>
            <w:tcW w:w="816"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50"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34" w:type="dxa"/>
            <w:noWrap w:val="0"/>
            <w:vAlign w:val="center"/>
          </w:tcPr>
          <w:p>
            <w:pPr>
              <w:widowControl/>
              <w:snapToGrid w:val="0"/>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税率为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noWrap w:val="0"/>
            <w:vAlign w:val="center"/>
          </w:tcPr>
          <w:p>
            <w:pPr>
              <w:snapToGrid w:val="0"/>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w:t>
            </w:r>
          </w:p>
        </w:tc>
        <w:tc>
          <w:tcPr>
            <w:tcW w:w="113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仓库货架（备品备件）</w:t>
            </w:r>
          </w:p>
        </w:tc>
        <w:tc>
          <w:tcPr>
            <w:tcW w:w="2516"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L1520*W650*H2000mm,,单层承重不小于300kg，蓝色喷塑</w:t>
            </w:r>
          </w:p>
        </w:tc>
        <w:tc>
          <w:tcPr>
            <w:tcW w:w="783" w:type="dxa"/>
            <w:noWrap w:val="0"/>
            <w:vAlign w:val="center"/>
          </w:tcPr>
          <w:p>
            <w:pPr>
              <w:snapToGrid w:val="0"/>
              <w:ind w:firstLine="240" w:firstLineChars="100"/>
              <w:jc w:val="both"/>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组</w:t>
            </w:r>
          </w:p>
        </w:tc>
        <w:tc>
          <w:tcPr>
            <w:tcW w:w="717" w:type="dxa"/>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17</w:t>
            </w:r>
          </w:p>
        </w:tc>
        <w:tc>
          <w:tcPr>
            <w:tcW w:w="816"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50"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34" w:type="dxa"/>
            <w:noWrap w:val="0"/>
            <w:vAlign w:val="center"/>
          </w:tcPr>
          <w:p>
            <w:pPr>
              <w:widowControl/>
              <w:snapToGrid w:val="0"/>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kern w:val="0"/>
                <w:sz w:val="24"/>
                <w:szCs w:val="24"/>
                <w:lang w:val="en-US" w:eastAsia="zh-CN"/>
              </w:rPr>
              <w:t>税率为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7" w:type="dxa"/>
            <w:noWrap w:val="0"/>
            <w:vAlign w:val="center"/>
          </w:tcPr>
          <w:p>
            <w:pPr>
              <w:snapToGrid w:val="0"/>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w:t>
            </w:r>
          </w:p>
        </w:tc>
        <w:tc>
          <w:tcPr>
            <w:tcW w:w="113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合计</w:t>
            </w:r>
          </w:p>
        </w:tc>
        <w:tc>
          <w:tcPr>
            <w:tcW w:w="2516"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783" w:type="dxa"/>
            <w:noWrap w:val="0"/>
            <w:vAlign w:val="center"/>
          </w:tcPr>
          <w:p>
            <w:pPr>
              <w:snapToGrid w:val="0"/>
              <w:ind w:firstLine="240" w:firstLineChars="100"/>
              <w:jc w:val="both"/>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组</w:t>
            </w:r>
          </w:p>
        </w:tc>
        <w:tc>
          <w:tcPr>
            <w:tcW w:w="717" w:type="dxa"/>
            <w:noWrap w:val="0"/>
            <w:vAlign w:val="center"/>
          </w:tcPr>
          <w:p>
            <w:pPr>
              <w:snapToGrid w:val="0"/>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34</w:t>
            </w:r>
          </w:p>
        </w:tc>
        <w:tc>
          <w:tcPr>
            <w:tcW w:w="816"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50"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34" w:type="dxa"/>
            <w:noWrap w:val="0"/>
            <w:vAlign w:val="center"/>
          </w:tcPr>
          <w:p>
            <w:pPr>
              <w:widowControl/>
              <w:snapToGrid w:val="0"/>
              <w:jc w:val="center"/>
              <w:rPr>
                <w:rFonts w:hint="eastAsia" w:ascii="仿宋_GB2312" w:hAnsi="宋体" w:eastAsia="仿宋_GB2312" w:cs="宋体"/>
                <w:kern w:val="0"/>
                <w:sz w:val="24"/>
                <w:szCs w:val="24"/>
                <w:lang w:val="en-US" w:eastAsia="zh-CN"/>
              </w:rPr>
            </w:pPr>
          </w:p>
        </w:tc>
      </w:tr>
    </w:tbl>
    <w:p>
      <w:pPr>
        <w:pStyle w:val="2"/>
        <w:rPr>
          <w:rFonts w:hint="eastAsia" w:ascii="仿宋_GB2312" w:eastAsia="仿宋_GB2312"/>
          <w:sz w:val="24"/>
          <w:szCs w:val="24"/>
          <w:lang w:val="en-US" w:eastAsia="zh-CN"/>
        </w:rPr>
      </w:pPr>
    </w:p>
    <w:p>
      <w:pPr>
        <w:rPr>
          <w:rFonts w:hint="default"/>
          <w:lang w:val="en-US" w:eastAsia="zh-CN"/>
        </w:rPr>
      </w:pPr>
    </w:p>
    <w:p>
      <w:pPr>
        <w:pStyle w:val="2"/>
        <w:rPr>
          <w:rFonts w:hint="eastAsia"/>
        </w:rPr>
      </w:pPr>
    </w:p>
    <w:p>
      <w:pPr>
        <w:rPr>
          <w:rFonts w:hint="eastAsia"/>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本项目报价为一次性报价，包含全部的工时费、运输费</w:t>
      </w:r>
      <w:r>
        <w:rPr>
          <w:rFonts w:hint="eastAsia" w:ascii="仿宋_GB2312" w:eastAsia="仿宋_GB2312"/>
          <w:sz w:val="24"/>
          <w:szCs w:val="24"/>
          <w:lang w:eastAsia="zh-CN"/>
        </w:rPr>
        <w:t>、</w:t>
      </w:r>
      <w:r>
        <w:rPr>
          <w:rFonts w:hint="eastAsia" w:ascii="仿宋_GB2312" w:eastAsia="仿宋_GB2312"/>
          <w:sz w:val="24"/>
          <w:szCs w:val="24"/>
        </w:rPr>
        <w:t>装卸费、</w:t>
      </w:r>
      <w:r>
        <w:rPr>
          <w:rFonts w:hint="eastAsia" w:ascii="仿宋_GB2312" w:eastAsia="仿宋_GB2312"/>
          <w:sz w:val="24"/>
          <w:szCs w:val="24"/>
          <w:lang w:eastAsia="zh-CN"/>
        </w:rPr>
        <w:t>现场组装费用、</w:t>
      </w:r>
      <w:r>
        <w:rPr>
          <w:rFonts w:hint="eastAsia" w:ascii="仿宋_GB2312" w:eastAsia="仿宋_GB2312"/>
          <w:sz w:val="24"/>
          <w:szCs w:val="24"/>
        </w:rPr>
        <w:t>税费等一切费用</w:t>
      </w:r>
      <w:r>
        <w:rPr>
          <w:rFonts w:hint="eastAsia" w:ascii="仿宋_GB2312" w:eastAsia="仿宋_GB2312"/>
          <w:sz w:val="24"/>
          <w:szCs w:val="24"/>
          <w:lang w:eastAsia="zh-CN"/>
        </w:rPr>
        <w:t>，</w:t>
      </w:r>
      <w:r>
        <w:rPr>
          <w:rFonts w:hint="eastAsia" w:ascii="仿宋_GB2312" w:eastAsia="仿宋_GB2312"/>
          <w:b/>
          <w:bCs/>
          <w:sz w:val="24"/>
          <w:szCs w:val="24"/>
          <w:lang w:eastAsia="zh-CN"/>
        </w:rPr>
        <w:t>发票必须为增值税专用发票</w:t>
      </w:r>
      <w:r>
        <w:rPr>
          <w:rFonts w:hint="eastAsia" w:ascii="仿宋_GB2312" w:eastAsia="仿宋_GB2312"/>
          <w:sz w:val="24"/>
          <w:szCs w:val="24"/>
        </w:rPr>
        <w:t>。</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21</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480" w:lineRule="auto"/>
        <w:jc w:val="left"/>
        <w:rPr>
          <w:rFonts w:hint="eastAsia" w:ascii="仿宋_GB2312" w:eastAsia="仿宋_GB2312"/>
          <w:b/>
          <w:spacing w:val="-2"/>
          <w:sz w:val="30"/>
        </w:rPr>
      </w:pPr>
      <w:bookmarkStart w:id="11" w:name="_Toc103165678"/>
      <w:bookmarkStart w:id="12" w:name="_Toc108839328"/>
      <w:r>
        <w:rPr>
          <w:rStyle w:val="11"/>
          <w:rFonts w:hint="eastAsia" w:ascii="仿宋_GB2312" w:eastAsia="仿宋_GB2312"/>
          <w:sz w:val="30"/>
        </w:rPr>
        <w:t>附件</w:t>
      </w:r>
      <w:bookmarkEnd w:id="11"/>
      <w:bookmarkEnd w:id="12"/>
      <w:r>
        <w:rPr>
          <w:rStyle w:val="11"/>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3209" w:firstLineChars="1000"/>
        <w:jc w:val="both"/>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480"/>
        <w:rPr>
          <w:rFonts w:hint="eastAsia"/>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val="en-US" w:eastAsia="zh-CN"/>
        </w:rPr>
        <w:t xml:space="preserve">  </w:t>
      </w:r>
      <w:r>
        <w:rPr>
          <w:rFonts w:hint="eastAsia" w:ascii="仿宋_GB2312" w:eastAsia="仿宋_GB2312"/>
          <w:sz w:val="24"/>
          <w:szCs w:val="24"/>
          <w:u w:val="single"/>
          <w:lang w:val="en-US" w:eastAsia="zh-CN"/>
        </w:rPr>
        <w:t xml:space="preserve">    </w:t>
      </w:r>
    </w:p>
    <w:p>
      <w:pPr>
        <w:snapToGrid w:val="0"/>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w:t>
      </w:r>
      <w:r>
        <w:rPr>
          <w:rFonts w:hint="eastAsia" w:ascii="仿宋_GB2312" w:eastAsia="仿宋_GB2312"/>
          <w:sz w:val="24"/>
          <w:szCs w:val="24"/>
          <w:lang w:eastAsia="zh-CN"/>
        </w:rPr>
        <w:t>或</w:t>
      </w:r>
      <w:r>
        <w:rPr>
          <w:rFonts w:hint="eastAsia" w:ascii="仿宋_GB2312" w:eastAsia="仿宋_GB2312"/>
          <w:sz w:val="24"/>
          <w:szCs w:val="24"/>
        </w:rPr>
        <w:t>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5</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rPr>
          <w:rFonts w:ascii="仿宋_GB2312" w:hAnsi="宋体"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二○二</w:t>
      </w:r>
      <w:r>
        <w:rPr>
          <w:rFonts w:hint="eastAsia" w:ascii="仿宋_GB2312" w:hAnsi="宋体" w:eastAsia="仿宋_GB2312"/>
          <w:sz w:val="24"/>
          <w:szCs w:val="24"/>
          <w:lang w:eastAsia="zh-CN"/>
        </w:rPr>
        <w:t>一</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11"/>
          <w:rFonts w:hint="eastAsia" w:ascii="仿宋_GB2312" w:eastAsia="仿宋_GB2312"/>
          <w:sz w:val="30"/>
        </w:rPr>
      </w:pPr>
      <w:r>
        <w:rPr>
          <w:rStyle w:val="11"/>
          <w:rFonts w:hint="eastAsia" w:ascii="仿宋_GB2312" w:eastAsia="仿宋_GB2312"/>
          <w:sz w:val="30"/>
        </w:rPr>
        <w:t xml:space="preserve">附件五 </w:t>
      </w:r>
    </w:p>
    <w:p>
      <w:pPr>
        <w:jc w:val="center"/>
        <w:rPr>
          <w:rFonts w:hint="eastAsia" w:ascii="仿宋_GB2312" w:eastAsia="仿宋_GB2312"/>
          <w:b/>
          <w:sz w:val="44"/>
          <w:lang w:eastAsia="zh-CN"/>
        </w:rPr>
      </w:pPr>
      <w:r>
        <w:rPr>
          <w:rFonts w:hint="eastAsia" w:ascii="仿宋_GB2312" w:eastAsia="仿宋_GB2312"/>
          <w:b/>
          <w:sz w:val="44"/>
          <w:lang w:eastAsia="zh-CN"/>
        </w:rPr>
        <w:t>承诺书</w:t>
      </w:r>
    </w:p>
    <w:p>
      <w:pPr>
        <w:snapToGrid w:val="0"/>
        <w:ind w:firstLine="1926" w:firstLineChars="600"/>
        <w:jc w:val="left"/>
        <w:rPr>
          <w:rFonts w:hint="eastAsia" w:ascii="仿宋_GB2312" w:eastAsia="仿宋_GB2312"/>
          <w:b/>
          <w:spacing w:val="40"/>
          <w:sz w:val="24"/>
          <w:szCs w:val="24"/>
        </w:rPr>
      </w:pPr>
    </w:p>
    <w:p>
      <w:pPr>
        <w:spacing w:line="360" w:lineRule="auto"/>
        <w:jc w:val="left"/>
        <w:rPr>
          <w:rFonts w:hint="eastAsia" w:ascii="仿宋_GB2312" w:eastAsia="仿宋_GB2312"/>
          <w:sz w:val="30"/>
          <w:szCs w:val="22"/>
          <w:lang w:eastAsia="zh-CN"/>
        </w:rPr>
      </w:pPr>
      <w:r>
        <w:rPr>
          <w:rFonts w:hint="eastAsia" w:ascii="仿宋_GB2312" w:eastAsia="仿宋_GB2312"/>
          <w:sz w:val="30"/>
          <w:szCs w:val="22"/>
          <w:lang w:eastAsia="zh-CN"/>
        </w:rPr>
        <w:t>杭州临江环境能源有限公司：</w:t>
      </w: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特此承诺!</w:t>
      </w: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w:t>
      </w:r>
    </w:p>
    <w:p>
      <w:pPr>
        <w:spacing w:line="360" w:lineRule="auto"/>
        <w:jc w:val="left"/>
        <w:rPr>
          <w:rFonts w:hint="eastAsia" w:ascii="仿宋_GB2312" w:eastAsia="仿宋_GB2312"/>
          <w:sz w:val="30"/>
          <w:szCs w:val="22"/>
          <w:lang w:val="en-US" w:eastAsia="zh-CN"/>
        </w:rPr>
      </w:pPr>
    </w:p>
    <w:p>
      <w:pPr>
        <w:spacing w:line="360" w:lineRule="auto"/>
        <w:ind w:left="4175" w:leftChars="1988" w:firstLine="0" w:firstLineChars="0"/>
        <w:jc w:val="left"/>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报价单位：                           </w:t>
      </w:r>
      <w:r>
        <w:rPr>
          <w:rFonts w:hint="eastAsia" w:ascii="仿宋_GB2312" w:hAnsi="Times New Roman" w:eastAsia="仿宋_GB2312" w:cs="Times New Roman"/>
          <w:b w:val="0"/>
          <w:caps w:val="0"/>
          <w:kern w:val="2"/>
          <w:sz w:val="30"/>
          <w:szCs w:val="22"/>
          <w:lang w:val="en-US" w:eastAsia="zh-CN" w:bidi="ar-SA"/>
        </w:rPr>
        <w:t xml:space="preserve">  </w:t>
      </w:r>
      <w:r>
        <w:rPr>
          <w:rFonts w:hint="eastAsia" w:ascii="仿宋_GB2312" w:eastAsia="仿宋_GB2312"/>
          <w:sz w:val="30"/>
          <w:szCs w:val="22"/>
          <w:lang w:val="en-US" w:eastAsia="zh-CN"/>
        </w:rPr>
        <w:t>2021</w:t>
      </w:r>
      <w:r>
        <w:rPr>
          <w:rFonts w:hint="eastAsia" w:ascii="仿宋_GB2312" w:hAnsi="Times New Roman" w:eastAsia="仿宋_GB2312" w:cs="Times New Roman"/>
          <w:b w:val="0"/>
          <w:caps w:val="0"/>
          <w:kern w:val="2"/>
          <w:sz w:val="30"/>
          <w:szCs w:val="22"/>
          <w:lang w:val="en-US" w:eastAsia="zh-CN" w:bidi="ar-SA"/>
        </w:rPr>
        <w:t>年</w:t>
      </w:r>
      <w:r>
        <w:rPr>
          <w:rFonts w:hint="eastAsia" w:ascii="仿宋_GB2312" w:eastAsia="仿宋_GB2312" w:cs="Times New Roman"/>
          <w:b w:val="0"/>
          <w:caps w:val="0"/>
          <w:kern w:val="2"/>
          <w:sz w:val="30"/>
          <w:szCs w:val="22"/>
          <w:lang w:val="en-US" w:eastAsia="zh-CN" w:bidi="ar-SA"/>
        </w:rPr>
        <w:t xml:space="preserve">    月    </w:t>
      </w:r>
      <w:r>
        <w:rPr>
          <w:rFonts w:hint="eastAsia" w:ascii="仿宋_GB2312" w:hAnsi="Times New Roman" w:eastAsia="仿宋_GB2312" w:cs="Times New Roman"/>
          <w:b w:val="0"/>
          <w:caps w:val="0"/>
          <w:kern w:val="2"/>
          <w:sz w:val="30"/>
          <w:szCs w:val="22"/>
          <w:lang w:val="en-US" w:eastAsia="zh-CN" w:bidi="ar-SA"/>
        </w:rPr>
        <w:t>日</w:t>
      </w: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Style w:val="11"/>
          <w:rFonts w:hint="eastAsia" w:ascii="仿宋_GB2312" w:hAnsi="Times New Roman" w:eastAsia="仿宋_GB2312" w:cs="Times New Roman"/>
          <w:b/>
          <w:caps w:val="0"/>
          <w:kern w:val="2"/>
          <w:sz w:val="30"/>
          <w:szCs w:val="22"/>
          <w:lang w:val="en-US" w:eastAsia="zh-CN" w:bidi="ar-SA"/>
        </w:rPr>
      </w:pPr>
      <w:r>
        <w:rPr>
          <w:rStyle w:val="11"/>
          <w:rFonts w:hint="eastAsia" w:ascii="仿宋_GB2312" w:hAnsi="Times New Roman" w:eastAsia="仿宋_GB2312" w:cs="Times New Roman"/>
          <w:b/>
          <w:caps w:val="0"/>
          <w:kern w:val="2"/>
          <w:sz w:val="30"/>
          <w:szCs w:val="22"/>
          <w:lang w:val="en-US" w:eastAsia="zh-CN" w:bidi="ar-SA"/>
        </w:rPr>
        <w:t>附件六</w:t>
      </w:r>
    </w:p>
    <w:p>
      <w:pPr>
        <w:rPr>
          <w:rFonts w:hint="eastAsia"/>
          <w:lang w:val="en-US" w:eastAsia="zh-CN"/>
        </w:rPr>
      </w:pPr>
    </w:p>
    <w:p>
      <w:pPr>
        <w:pStyle w:val="2"/>
        <w:rPr>
          <w:rFonts w:hint="eastAsia"/>
          <w:lang w:val="en-US" w:eastAsia="zh-CN"/>
        </w:rPr>
      </w:pPr>
      <w:r>
        <w:rPr>
          <w:rFonts w:hint="eastAsia"/>
          <w:lang w:val="en-US" w:eastAsia="zh-CN"/>
        </w:rPr>
        <w:drawing>
          <wp:inline distT="0" distB="0" distL="114300" distR="114300">
            <wp:extent cx="5749290" cy="7360285"/>
            <wp:effectExtent l="0" t="0" r="3810" b="12065"/>
            <wp:docPr id="1" name="图片 1" descr="1325445991451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254459914510298"/>
                    <pic:cNvPicPr>
                      <a:picLocks noChangeAspect="1"/>
                    </pic:cNvPicPr>
                  </pic:nvPicPr>
                  <pic:blipFill>
                    <a:blip r:embed="rId5"/>
                    <a:stretch>
                      <a:fillRect/>
                    </a:stretch>
                  </pic:blipFill>
                  <pic:spPr>
                    <a:xfrm>
                      <a:off x="0" y="0"/>
                      <a:ext cx="5749290" cy="7360285"/>
                    </a:xfrm>
                    <a:prstGeom prst="rect">
                      <a:avLst/>
                    </a:prstGeom>
                  </pic:spPr>
                </pic:pic>
              </a:graphicData>
            </a:graphic>
          </wp:inline>
        </w:drawing>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drawing>
          <wp:inline distT="0" distB="0" distL="114300" distR="114300">
            <wp:extent cx="5737860" cy="7870190"/>
            <wp:effectExtent l="0" t="0" r="15240" b="16510"/>
            <wp:docPr id="2" name="图片 2" descr="13254459914517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254459914517299"/>
                    <pic:cNvPicPr>
                      <a:picLocks noChangeAspect="1"/>
                    </pic:cNvPicPr>
                  </pic:nvPicPr>
                  <pic:blipFill>
                    <a:blip r:embed="rId6"/>
                    <a:stretch>
                      <a:fillRect/>
                    </a:stretch>
                  </pic:blipFill>
                  <pic:spPr>
                    <a:xfrm>
                      <a:off x="0" y="0"/>
                      <a:ext cx="5737860" cy="7870190"/>
                    </a:xfrm>
                    <a:prstGeom prst="rect">
                      <a:avLst/>
                    </a:prstGeom>
                  </pic:spPr>
                </pic:pic>
              </a:graphicData>
            </a:graphic>
          </wp:inline>
        </w:drawing>
      </w: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default"/>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024DF"/>
    <w:multiLevelType w:val="singleLevel"/>
    <w:tmpl w:val="868024DF"/>
    <w:lvl w:ilvl="0" w:tentative="0">
      <w:start w:val="1"/>
      <w:numFmt w:val="decimal"/>
      <w:lvlText w:val="%1."/>
      <w:lvlJc w:val="left"/>
      <w:pPr>
        <w:tabs>
          <w:tab w:val="left" w:pos="312"/>
        </w:tabs>
      </w:pPr>
    </w:lvl>
  </w:abstractNum>
  <w:abstractNum w:abstractNumId="1">
    <w:nsid w:val="899A2E71"/>
    <w:multiLevelType w:val="singleLevel"/>
    <w:tmpl w:val="899A2E71"/>
    <w:lvl w:ilvl="0" w:tentative="0">
      <w:start w:val="2"/>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4">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1403251"/>
    <w:rsid w:val="01D22213"/>
    <w:rsid w:val="04AF037B"/>
    <w:rsid w:val="05D22118"/>
    <w:rsid w:val="06057AB3"/>
    <w:rsid w:val="099924A0"/>
    <w:rsid w:val="0A0C6ADD"/>
    <w:rsid w:val="0DC35837"/>
    <w:rsid w:val="1297576D"/>
    <w:rsid w:val="12BF4C87"/>
    <w:rsid w:val="159652F0"/>
    <w:rsid w:val="1BD33B78"/>
    <w:rsid w:val="1E1A21EF"/>
    <w:rsid w:val="1F711126"/>
    <w:rsid w:val="203B090D"/>
    <w:rsid w:val="21135480"/>
    <w:rsid w:val="21196906"/>
    <w:rsid w:val="211E56AC"/>
    <w:rsid w:val="214D7086"/>
    <w:rsid w:val="26F76768"/>
    <w:rsid w:val="29F704EF"/>
    <w:rsid w:val="2AC220DE"/>
    <w:rsid w:val="2ADB5E21"/>
    <w:rsid w:val="344A128F"/>
    <w:rsid w:val="3E16524F"/>
    <w:rsid w:val="3F2D02B4"/>
    <w:rsid w:val="478F3581"/>
    <w:rsid w:val="47B96D86"/>
    <w:rsid w:val="48BF5DCC"/>
    <w:rsid w:val="4E376DB9"/>
    <w:rsid w:val="4F0A3ECF"/>
    <w:rsid w:val="5AD11267"/>
    <w:rsid w:val="5EB51940"/>
    <w:rsid w:val="612A3DEE"/>
    <w:rsid w:val="649C599A"/>
    <w:rsid w:val="65E56646"/>
    <w:rsid w:val="66B027B6"/>
    <w:rsid w:val="6AA812F8"/>
    <w:rsid w:val="6C714475"/>
    <w:rsid w:val="6E0B720A"/>
    <w:rsid w:val="6E5526FF"/>
    <w:rsid w:val="71C5585F"/>
    <w:rsid w:val="77D476E8"/>
    <w:rsid w:val="79327823"/>
    <w:rsid w:val="7EF0524B"/>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1">
    <w:name w:val="标题 1 Char Char"/>
    <w:qFormat/>
    <w:uiPriority w:val="0"/>
    <w:rPr>
      <w:rFonts w:eastAsia="宋体"/>
      <w:b/>
      <w:spacing w:val="-2"/>
      <w:sz w:val="24"/>
      <w:lang w:val="en-US" w:eastAsia="zh-CN"/>
    </w:rPr>
  </w:style>
  <w:style w:type="paragraph" w:customStyle="1" w:styleId="12">
    <w:name w:val="一、标题"/>
    <w:basedOn w:val="1"/>
    <w:qFormat/>
    <w:uiPriority w:val="0"/>
    <w:rPr>
      <w:b/>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Administrator</cp:lastModifiedBy>
  <cp:lastPrinted>2020-11-27T08:14:00Z</cp:lastPrinted>
  <dcterms:modified xsi:type="dcterms:W3CDTF">2021-01-11T07:26:48Z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