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FBAAC">
      <w:pPr>
        <w:autoSpaceDE w:val="0"/>
        <w:autoSpaceDN w:val="0"/>
        <w:adjustRightInd w:val="0"/>
        <w:snapToGrid w:val="0"/>
        <w:spacing w:line="360" w:lineRule="auto"/>
        <w:jc w:val="center"/>
        <w:rPr>
          <w:rFonts w:ascii="宋体" w:hAnsi="宋体" w:eastAsia="宋体" w:cs="宋体"/>
          <w:b/>
          <w:snapToGrid w:val="0"/>
          <w:color w:val="auto"/>
          <w:kern w:val="0"/>
          <w:sz w:val="44"/>
          <w:szCs w:val="44"/>
          <w:highlight w:val="none"/>
          <w:u w:val="single"/>
          <w:lang w:val="zh-CN"/>
        </w:rPr>
      </w:pPr>
      <w:bookmarkStart w:id="0" w:name="Content"/>
      <w:r>
        <w:rPr>
          <w:rFonts w:hint="eastAsia" w:ascii="宋体" w:hAnsi="宋体" w:eastAsia="宋体" w:cs="宋体"/>
          <w:b/>
          <w:snapToGrid w:val="0"/>
          <w:color w:val="auto"/>
          <w:kern w:val="0"/>
          <w:sz w:val="44"/>
          <w:szCs w:val="44"/>
          <w:highlight w:val="none"/>
          <w:u w:val="single"/>
          <w:lang w:val="zh-CN"/>
        </w:rPr>
        <w:t>杭州天子岭发电有限公司</w:t>
      </w:r>
    </w:p>
    <w:p w14:paraId="28A94967">
      <w:pPr>
        <w:autoSpaceDE w:val="0"/>
        <w:autoSpaceDN w:val="0"/>
        <w:adjustRightInd w:val="0"/>
        <w:snapToGrid w:val="0"/>
        <w:spacing w:line="360" w:lineRule="auto"/>
        <w:jc w:val="center"/>
        <w:rPr>
          <w:rFonts w:ascii="宋体" w:hAnsi="宋体" w:eastAsia="宋体" w:cs="宋体"/>
          <w:b/>
          <w:snapToGrid w:val="0"/>
          <w:color w:val="auto"/>
          <w:kern w:val="0"/>
          <w:sz w:val="44"/>
          <w:szCs w:val="44"/>
          <w:highlight w:val="none"/>
          <w:lang w:val="zh-CN"/>
        </w:rPr>
      </w:pPr>
      <w:r>
        <w:rPr>
          <w:rFonts w:hint="eastAsia" w:ascii="宋体" w:hAnsi="宋体" w:eastAsia="宋体" w:cs="宋体"/>
          <w:b/>
          <w:snapToGrid w:val="0"/>
          <w:color w:val="auto"/>
          <w:kern w:val="0"/>
          <w:sz w:val="44"/>
          <w:szCs w:val="44"/>
          <w:highlight w:val="none"/>
          <w:u w:val="single"/>
          <w:lang w:val="zh-CN"/>
        </w:rPr>
        <w:t>2025年污染源(废气)在线监测系统运维服务</w:t>
      </w:r>
    </w:p>
    <w:p w14:paraId="0171C412">
      <w:pPr>
        <w:autoSpaceDE w:val="0"/>
        <w:autoSpaceDN w:val="0"/>
        <w:adjustRightInd w:val="0"/>
        <w:snapToGrid w:val="0"/>
        <w:spacing w:line="360" w:lineRule="auto"/>
        <w:jc w:val="center"/>
        <w:rPr>
          <w:rFonts w:ascii="宋体" w:hAnsi="宋体" w:eastAsia="宋体" w:cs="宋体"/>
          <w:snapToGrid w:val="0"/>
          <w:color w:val="auto"/>
          <w:kern w:val="0"/>
          <w:sz w:val="52"/>
          <w:szCs w:val="52"/>
          <w:highlight w:val="none"/>
        </w:rPr>
      </w:pPr>
    </w:p>
    <w:p w14:paraId="047B9D3E">
      <w:pPr>
        <w:autoSpaceDE w:val="0"/>
        <w:autoSpaceDN w:val="0"/>
        <w:adjustRightInd w:val="0"/>
        <w:snapToGrid w:val="0"/>
        <w:spacing w:line="360" w:lineRule="auto"/>
        <w:jc w:val="center"/>
        <w:rPr>
          <w:rFonts w:ascii="宋体" w:hAnsi="宋体" w:eastAsia="宋体" w:cs="宋体"/>
          <w:bCs/>
          <w:snapToGrid w:val="0"/>
          <w:color w:val="auto"/>
          <w:kern w:val="0"/>
          <w:sz w:val="72"/>
          <w:szCs w:val="72"/>
          <w:highlight w:val="none"/>
        </w:rPr>
      </w:pPr>
      <w:r>
        <w:rPr>
          <w:rFonts w:hint="eastAsia" w:ascii="宋体" w:hAnsi="宋体" w:eastAsia="宋体" w:cs="宋体"/>
          <w:bCs/>
          <w:snapToGrid w:val="0"/>
          <w:color w:val="auto"/>
          <w:kern w:val="0"/>
          <w:sz w:val="72"/>
          <w:szCs w:val="72"/>
          <w:highlight w:val="none"/>
        </w:rPr>
        <w:t>招标文件</w:t>
      </w:r>
    </w:p>
    <w:p w14:paraId="154BF791">
      <w:pPr>
        <w:autoSpaceDE w:val="0"/>
        <w:autoSpaceDN w:val="0"/>
        <w:adjustRightInd w:val="0"/>
        <w:snapToGrid w:val="0"/>
        <w:spacing w:line="360" w:lineRule="auto"/>
        <w:jc w:val="center"/>
        <w:rPr>
          <w:rFonts w:ascii="宋体" w:hAnsi="宋体" w:eastAsia="宋体" w:cs="宋体"/>
          <w:b/>
          <w:snapToGrid w:val="0"/>
          <w:color w:val="auto"/>
          <w:kern w:val="0"/>
          <w:szCs w:val="32"/>
          <w:highlight w:val="none"/>
        </w:rPr>
      </w:pPr>
    </w:p>
    <w:p w14:paraId="1E6542D0">
      <w:pPr>
        <w:autoSpaceDE w:val="0"/>
        <w:autoSpaceDN w:val="0"/>
        <w:adjustRightInd w:val="0"/>
        <w:snapToGrid w:val="0"/>
        <w:spacing w:line="360" w:lineRule="auto"/>
        <w:jc w:val="center"/>
        <w:rPr>
          <w:rFonts w:hint="eastAsia" w:ascii="宋体" w:hAnsi="宋体" w:eastAsia="宋体" w:cs="宋体"/>
          <w:b/>
          <w:snapToGrid w:val="0"/>
          <w:color w:val="auto"/>
          <w:kern w:val="0"/>
          <w:szCs w:val="32"/>
          <w:highlight w:val="none"/>
        </w:rPr>
      </w:pPr>
      <w:r>
        <w:rPr>
          <w:rFonts w:hint="eastAsia" w:ascii="宋体" w:hAnsi="宋体" w:eastAsia="宋体" w:cs="宋体"/>
          <w:b/>
          <w:snapToGrid w:val="0"/>
          <w:color w:val="auto"/>
          <w:kern w:val="0"/>
          <w:szCs w:val="32"/>
          <w:highlight w:val="none"/>
        </w:rPr>
        <w:t xml:space="preserve">招标编号: NY-1FZB2411132 </w:t>
      </w:r>
    </w:p>
    <w:p w14:paraId="2DC0E48F">
      <w:pPr>
        <w:pStyle w:val="13"/>
        <w:snapToGrid w:val="0"/>
        <w:spacing w:line="360" w:lineRule="auto"/>
        <w:jc w:val="center"/>
        <w:rPr>
          <w:rFonts w:hAnsi="宋体" w:cs="宋体"/>
          <w:snapToGrid w:val="0"/>
          <w:color w:val="auto"/>
          <w:sz w:val="32"/>
          <w:highlight w:val="none"/>
        </w:rPr>
      </w:pPr>
    </w:p>
    <w:p w14:paraId="5C0D1A70">
      <w:pPr>
        <w:pStyle w:val="13"/>
        <w:snapToGrid w:val="0"/>
        <w:spacing w:line="360" w:lineRule="auto"/>
        <w:jc w:val="center"/>
        <w:rPr>
          <w:rFonts w:hAnsi="宋体" w:cs="宋体"/>
          <w:snapToGrid w:val="0"/>
          <w:color w:val="auto"/>
          <w:sz w:val="32"/>
          <w:highlight w:val="none"/>
        </w:rPr>
      </w:pPr>
    </w:p>
    <w:p w14:paraId="7DBC2861">
      <w:pPr>
        <w:pStyle w:val="13"/>
        <w:snapToGrid w:val="0"/>
        <w:spacing w:line="360" w:lineRule="auto"/>
        <w:jc w:val="center"/>
        <w:rPr>
          <w:rFonts w:hAnsi="宋体" w:cs="宋体"/>
          <w:snapToGrid w:val="0"/>
          <w:color w:val="auto"/>
          <w:sz w:val="32"/>
          <w:highlight w:val="none"/>
        </w:rPr>
      </w:pPr>
    </w:p>
    <w:p w14:paraId="36660E72">
      <w:pPr>
        <w:pStyle w:val="13"/>
        <w:snapToGrid w:val="0"/>
        <w:spacing w:line="360" w:lineRule="auto"/>
        <w:jc w:val="center"/>
        <w:rPr>
          <w:rFonts w:hAnsi="宋体" w:cs="宋体"/>
          <w:snapToGrid w:val="0"/>
          <w:color w:val="auto"/>
          <w:sz w:val="32"/>
          <w:highlight w:val="none"/>
        </w:rPr>
      </w:pPr>
    </w:p>
    <w:p w14:paraId="0444F2F9">
      <w:pPr>
        <w:pStyle w:val="13"/>
        <w:snapToGrid w:val="0"/>
        <w:spacing w:line="360" w:lineRule="auto"/>
        <w:jc w:val="center"/>
        <w:rPr>
          <w:rFonts w:hAnsi="宋体" w:cs="宋体"/>
          <w:snapToGrid w:val="0"/>
          <w:color w:val="auto"/>
          <w:sz w:val="32"/>
          <w:highlight w:val="none"/>
        </w:rPr>
      </w:pPr>
    </w:p>
    <w:p w14:paraId="6429FFD7">
      <w:pPr>
        <w:pStyle w:val="13"/>
        <w:snapToGrid w:val="0"/>
        <w:spacing w:line="360" w:lineRule="auto"/>
        <w:jc w:val="center"/>
        <w:rPr>
          <w:rFonts w:hAnsi="宋体" w:cs="宋体"/>
          <w:snapToGrid w:val="0"/>
          <w:color w:val="auto"/>
          <w:sz w:val="32"/>
          <w:highlight w:val="none"/>
        </w:rPr>
      </w:pPr>
    </w:p>
    <w:tbl>
      <w:tblPr>
        <w:tblStyle w:val="25"/>
        <w:tblW w:w="9099" w:type="dxa"/>
        <w:jc w:val="center"/>
        <w:tblLayout w:type="fixed"/>
        <w:tblCellMar>
          <w:top w:w="0" w:type="dxa"/>
          <w:left w:w="108" w:type="dxa"/>
          <w:bottom w:w="0" w:type="dxa"/>
          <w:right w:w="108" w:type="dxa"/>
        </w:tblCellMar>
      </w:tblPr>
      <w:tblGrid>
        <w:gridCol w:w="2048"/>
        <w:gridCol w:w="7051"/>
      </w:tblGrid>
      <w:tr w14:paraId="711D79BA">
        <w:tblPrEx>
          <w:tblCellMar>
            <w:top w:w="0" w:type="dxa"/>
            <w:left w:w="108" w:type="dxa"/>
            <w:bottom w:w="0" w:type="dxa"/>
            <w:right w:w="108" w:type="dxa"/>
          </w:tblCellMar>
        </w:tblPrEx>
        <w:trPr>
          <w:trHeight w:val="822" w:hRule="atLeast"/>
          <w:jc w:val="center"/>
        </w:trPr>
        <w:tc>
          <w:tcPr>
            <w:tcW w:w="2048" w:type="dxa"/>
            <w:vAlign w:val="center"/>
          </w:tcPr>
          <w:p w14:paraId="3A48BC96">
            <w:pPr>
              <w:pStyle w:val="13"/>
              <w:snapToGrid w:val="0"/>
              <w:jc w:val="center"/>
              <w:rPr>
                <w:rFonts w:hAnsi="宋体" w:cs="宋体"/>
                <w:snapToGrid w:val="0"/>
                <w:color w:val="auto"/>
                <w:sz w:val="32"/>
                <w:highlight w:val="none"/>
              </w:rPr>
            </w:pPr>
            <w:r>
              <w:rPr>
                <w:rFonts w:hint="eastAsia" w:hAnsi="宋体" w:cs="宋体"/>
                <w:snapToGrid w:val="0"/>
                <w:color w:val="auto"/>
                <w:sz w:val="32"/>
                <w:highlight w:val="none"/>
              </w:rPr>
              <w:t>招 标 人：</w:t>
            </w:r>
          </w:p>
        </w:tc>
        <w:tc>
          <w:tcPr>
            <w:tcW w:w="7051" w:type="dxa"/>
            <w:vAlign w:val="center"/>
          </w:tcPr>
          <w:p w14:paraId="1377AC66">
            <w:pPr>
              <w:pStyle w:val="13"/>
              <w:snapToGrid w:val="0"/>
              <w:jc w:val="left"/>
              <w:rPr>
                <w:rFonts w:hAnsi="宋体" w:cs="宋体"/>
                <w:snapToGrid w:val="0"/>
                <w:color w:val="auto"/>
                <w:sz w:val="32"/>
                <w:highlight w:val="none"/>
              </w:rPr>
            </w:pPr>
            <w:r>
              <w:rPr>
                <w:rFonts w:hint="eastAsia" w:hAnsi="宋体" w:cs="宋体"/>
                <w:snapToGrid w:val="0"/>
                <w:color w:val="auto"/>
                <w:sz w:val="32"/>
                <w:szCs w:val="32"/>
                <w:highlight w:val="none"/>
                <w:u w:val="single"/>
              </w:rPr>
              <w:t>杭州天子岭发电有限公司</w:t>
            </w:r>
            <w:r>
              <w:rPr>
                <w:rFonts w:hint="eastAsia" w:hAnsi="宋体" w:cs="宋体"/>
                <w:snapToGrid w:val="0"/>
                <w:color w:val="auto"/>
                <w:sz w:val="32"/>
                <w:highlight w:val="none"/>
              </w:rPr>
              <w:t>（盖单位公章）</w:t>
            </w:r>
          </w:p>
        </w:tc>
      </w:tr>
      <w:tr w14:paraId="7ECD993D">
        <w:tblPrEx>
          <w:tblCellMar>
            <w:top w:w="0" w:type="dxa"/>
            <w:left w:w="108" w:type="dxa"/>
            <w:bottom w:w="0" w:type="dxa"/>
            <w:right w:w="108" w:type="dxa"/>
          </w:tblCellMar>
        </w:tblPrEx>
        <w:trPr>
          <w:trHeight w:val="694" w:hRule="atLeast"/>
          <w:jc w:val="center"/>
        </w:trPr>
        <w:tc>
          <w:tcPr>
            <w:tcW w:w="2048" w:type="dxa"/>
            <w:vAlign w:val="center"/>
          </w:tcPr>
          <w:p w14:paraId="12D3C903">
            <w:pPr>
              <w:pStyle w:val="13"/>
              <w:snapToGrid w:val="0"/>
              <w:jc w:val="center"/>
              <w:rPr>
                <w:rFonts w:hAnsi="宋体" w:cs="宋体"/>
                <w:snapToGrid w:val="0"/>
                <w:color w:val="auto"/>
                <w:sz w:val="32"/>
                <w:highlight w:val="none"/>
              </w:rPr>
            </w:pPr>
            <w:r>
              <w:rPr>
                <w:rFonts w:hint="eastAsia" w:hAnsi="宋体" w:cs="宋体"/>
                <w:snapToGrid w:val="0"/>
                <w:color w:val="auto"/>
                <w:sz w:val="32"/>
                <w:highlight w:val="none"/>
              </w:rPr>
              <w:t>招标代理：</w:t>
            </w:r>
          </w:p>
        </w:tc>
        <w:tc>
          <w:tcPr>
            <w:tcW w:w="7051" w:type="dxa"/>
            <w:vAlign w:val="center"/>
          </w:tcPr>
          <w:p w14:paraId="61D3360E">
            <w:pPr>
              <w:pStyle w:val="13"/>
              <w:snapToGrid w:val="0"/>
              <w:jc w:val="left"/>
              <w:rPr>
                <w:rFonts w:hAnsi="宋体" w:cs="宋体"/>
                <w:snapToGrid w:val="0"/>
                <w:color w:val="auto"/>
                <w:sz w:val="32"/>
                <w:highlight w:val="none"/>
              </w:rPr>
            </w:pPr>
            <w:r>
              <w:rPr>
                <w:rFonts w:hint="eastAsia" w:hAnsi="宋体" w:cs="宋体"/>
                <w:snapToGrid w:val="0"/>
                <w:color w:val="auto"/>
                <w:sz w:val="32"/>
                <w:szCs w:val="32"/>
                <w:highlight w:val="none"/>
                <w:u w:val="single"/>
                <w:lang w:val="zh-CN"/>
              </w:rPr>
              <w:t>中冠管理咨询有限公司</w:t>
            </w:r>
            <w:r>
              <w:rPr>
                <w:rFonts w:hint="eastAsia" w:hAnsi="宋体" w:cs="宋体"/>
                <w:snapToGrid w:val="0"/>
                <w:color w:val="auto"/>
                <w:sz w:val="32"/>
                <w:highlight w:val="none"/>
              </w:rPr>
              <w:t>（盖单位公章）</w:t>
            </w:r>
          </w:p>
        </w:tc>
      </w:tr>
      <w:tr w14:paraId="66DADE9B">
        <w:tblPrEx>
          <w:tblCellMar>
            <w:top w:w="0" w:type="dxa"/>
            <w:left w:w="108" w:type="dxa"/>
            <w:bottom w:w="0" w:type="dxa"/>
            <w:right w:w="108" w:type="dxa"/>
          </w:tblCellMar>
        </w:tblPrEx>
        <w:trPr>
          <w:trHeight w:val="694" w:hRule="atLeast"/>
          <w:jc w:val="center"/>
        </w:trPr>
        <w:tc>
          <w:tcPr>
            <w:tcW w:w="2048" w:type="dxa"/>
            <w:vAlign w:val="center"/>
          </w:tcPr>
          <w:p w14:paraId="307CB76A">
            <w:pPr>
              <w:pStyle w:val="13"/>
              <w:snapToGrid w:val="0"/>
              <w:jc w:val="center"/>
              <w:rPr>
                <w:rFonts w:hAnsi="宋体" w:cs="宋体"/>
                <w:snapToGrid w:val="0"/>
                <w:color w:val="auto"/>
                <w:sz w:val="32"/>
                <w:highlight w:val="none"/>
              </w:rPr>
            </w:pPr>
          </w:p>
        </w:tc>
        <w:tc>
          <w:tcPr>
            <w:tcW w:w="7051" w:type="dxa"/>
            <w:vAlign w:val="center"/>
          </w:tcPr>
          <w:p w14:paraId="3B9539E5">
            <w:pPr>
              <w:pStyle w:val="13"/>
              <w:snapToGrid w:val="0"/>
              <w:jc w:val="left"/>
              <w:rPr>
                <w:rFonts w:hAnsi="宋体" w:cs="宋体"/>
                <w:snapToGrid w:val="0"/>
                <w:color w:val="auto"/>
                <w:sz w:val="32"/>
                <w:highlight w:val="none"/>
                <w:u w:val="single"/>
              </w:rPr>
            </w:pPr>
          </w:p>
        </w:tc>
      </w:tr>
      <w:tr w14:paraId="4DD27F3B">
        <w:tblPrEx>
          <w:tblCellMar>
            <w:top w:w="0" w:type="dxa"/>
            <w:left w:w="108" w:type="dxa"/>
            <w:bottom w:w="0" w:type="dxa"/>
            <w:right w:w="108" w:type="dxa"/>
          </w:tblCellMar>
        </w:tblPrEx>
        <w:trPr>
          <w:trHeight w:val="562" w:hRule="atLeast"/>
          <w:jc w:val="center"/>
        </w:trPr>
        <w:tc>
          <w:tcPr>
            <w:tcW w:w="9099" w:type="dxa"/>
            <w:gridSpan w:val="2"/>
            <w:vAlign w:val="center"/>
          </w:tcPr>
          <w:p w14:paraId="759AC708">
            <w:pPr>
              <w:pStyle w:val="13"/>
              <w:snapToGrid w:val="0"/>
              <w:jc w:val="center"/>
              <w:rPr>
                <w:rFonts w:hAnsi="宋体" w:cs="宋体"/>
                <w:snapToGrid w:val="0"/>
                <w:color w:val="auto"/>
                <w:sz w:val="32"/>
                <w:highlight w:val="none"/>
              </w:rPr>
            </w:pPr>
            <w:r>
              <w:rPr>
                <w:rFonts w:hint="eastAsia" w:hAnsi="宋体" w:cs="宋体"/>
                <w:snapToGrid w:val="0"/>
                <w:color w:val="auto"/>
                <w:sz w:val="32"/>
                <w:highlight w:val="none"/>
              </w:rPr>
              <w:t>2024年</w:t>
            </w:r>
            <w:r>
              <w:rPr>
                <w:rFonts w:hint="eastAsia" w:hAnsi="宋体" w:cs="宋体"/>
                <w:snapToGrid w:val="0"/>
                <w:color w:val="auto"/>
                <w:sz w:val="32"/>
                <w:highlight w:val="none"/>
                <w:lang w:val="en-US" w:eastAsia="zh-CN"/>
              </w:rPr>
              <w:t>11</w:t>
            </w:r>
            <w:r>
              <w:rPr>
                <w:rFonts w:hint="eastAsia" w:hAnsi="宋体" w:cs="宋体"/>
                <w:snapToGrid w:val="0"/>
                <w:color w:val="auto"/>
                <w:sz w:val="32"/>
                <w:highlight w:val="none"/>
              </w:rPr>
              <w:t>月</w:t>
            </w:r>
          </w:p>
        </w:tc>
      </w:tr>
    </w:tbl>
    <w:p w14:paraId="1F67E80E">
      <w:pPr>
        <w:spacing w:line="560" w:lineRule="exact"/>
        <w:jc w:val="center"/>
        <w:rPr>
          <w:rFonts w:ascii="宋体" w:hAnsi="宋体" w:eastAsia="宋体" w:cs="宋体"/>
          <w:b/>
          <w:bCs/>
          <w:color w:val="auto"/>
          <w:sz w:val="44"/>
          <w:szCs w:val="44"/>
          <w:highlight w:val="none"/>
        </w:rPr>
      </w:pPr>
    </w:p>
    <w:p w14:paraId="4B830403">
      <w:pPr>
        <w:widowControl/>
        <w:jc w:val="left"/>
        <w:rPr>
          <w:rFonts w:ascii="宋体" w:hAnsi="宋体" w:eastAsia="宋体" w:cs="宋体"/>
          <w:b/>
          <w:bCs/>
          <w:color w:val="auto"/>
          <w:szCs w:val="32"/>
          <w:highlight w:val="none"/>
        </w:rPr>
        <w:sectPr>
          <w:headerReference r:id="rId3" w:type="default"/>
          <w:pgSz w:w="11906" w:h="16838"/>
          <w:pgMar w:top="2098" w:right="1474" w:bottom="1985" w:left="1588" w:header="851" w:footer="737" w:gutter="0"/>
          <w:cols w:space="720" w:num="1"/>
          <w:docGrid w:type="linesAndChars" w:linePitch="579" w:charSpace="-1683"/>
        </w:sectPr>
      </w:pPr>
    </w:p>
    <w:p w14:paraId="1CE918F9">
      <w:pPr>
        <w:jc w:val="center"/>
        <w:rPr>
          <w:rFonts w:ascii="宋体" w:hAnsi="宋体" w:eastAsia="宋体" w:cs="宋体"/>
          <w:color w:val="auto"/>
          <w:sz w:val="44"/>
          <w:highlight w:val="none"/>
        </w:rPr>
      </w:pPr>
      <w:r>
        <w:rPr>
          <w:rFonts w:hint="eastAsia" w:ascii="宋体" w:hAnsi="宋体" w:eastAsia="宋体" w:cs="宋体"/>
          <w:color w:val="auto"/>
          <w:sz w:val="44"/>
          <w:highlight w:val="none"/>
        </w:rPr>
        <w:t>目  录</w:t>
      </w:r>
    </w:p>
    <w:p w14:paraId="356FC693">
      <w:pPr>
        <w:rPr>
          <w:rFonts w:ascii="宋体" w:hAnsi="宋体" w:eastAsia="宋体" w:cs="宋体"/>
          <w:color w:val="auto"/>
          <w:highlight w:val="none"/>
        </w:rPr>
      </w:pPr>
    </w:p>
    <w:p w14:paraId="1C21BF22">
      <w:pPr>
        <w:pStyle w:val="2"/>
        <w:tabs>
          <w:tab w:val="right" w:leader="dot" w:pos="9061"/>
        </w:tabs>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"1-2" \h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"_Toc83886013" </w:instrText>
      </w:r>
      <w:r>
        <w:rPr>
          <w:color w:val="auto"/>
          <w:highlight w:val="none"/>
        </w:rPr>
        <w:fldChar w:fldCharType="separate"/>
      </w:r>
      <w:r>
        <w:rPr>
          <w:rStyle w:val="30"/>
          <w:rFonts w:hint="eastAsia" w:ascii="宋体" w:hAnsi="宋体" w:cs="宋体"/>
          <w:color w:val="auto"/>
          <w:sz w:val="24"/>
          <w:highlight w:val="none"/>
        </w:rPr>
        <w:t>第一章  招标公告</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Style w:val="30"/>
          <w:rFonts w:hint="eastAsia" w:ascii="宋体" w:hAnsi="宋体" w:cs="宋体"/>
          <w:color w:val="auto"/>
          <w:sz w:val="24"/>
          <w:highlight w:val="none"/>
        </w:rPr>
        <w:t>2</w:t>
      </w:r>
    </w:p>
    <w:p w14:paraId="55AE4B00">
      <w:pPr>
        <w:pStyle w:val="20"/>
        <w:tabs>
          <w:tab w:val="right" w:leader="dot" w:pos="9061"/>
        </w:tabs>
        <w:spacing w:line="360" w:lineRule="auto"/>
        <w:ind w:left="0" w:leftChars="0"/>
        <w:rPr>
          <w:rStyle w:val="30"/>
          <w:rFonts w:ascii="宋体" w:hAnsi="宋体" w:cs="宋体"/>
          <w:color w:val="auto"/>
          <w:sz w:val="24"/>
          <w:highlight w:val="none"/>
        </w:rPr>
      </w:pPr>
      <w:r>
        <w:rPr>
          <w:rStyle w:val="30"/>
          <w:rFonts w:hint="eastAsia" w:ascii="宋体" w:hAnsi="宋体" w:cs="宋体"/>
          <w:color w:val="auto"/>
          <w:sz w:val="24"/>
          <w:highlight w:val="none"/>
        </w:rPr>
        <w:t xml:space="preserve">第二章  </w:t>
      </w:r>
      <w:r>
        <w:rPr>
          <w:color w:val="auto"/>
          <w:highlight w:val="none"/>
        </w:rPr>
        <w:fldChar w:fldCharType="begin"/>
      </w:r>
      <w:r>
        <w:rPr>
          <w:color w:val="auto"/>
          <w:highlight w:val="none"/>
        </w:rPr>
        <w:instrText xml:space="preserve"> HYPERLINK \l "_Toc83886014" </w:instrText>
      </w:r>
      <w:r>
        <w:rPr>
          <w:color w:val="auto"/>
          <w:highlight w:val="none"/>
        </w:rPr>
        <w:fldChar w:fldCharType="separate"/>
      </w:r>
      <w:r>
        <w:rPr>
          <w:rStyle w:val="30"/>
          <w:rFonts w:hint="eastAsia" w:ascii="宋体" w:hAnsi="宋体" w:cs="宋体"/>
          <w:color w:val="auto"/>
          <w:kern w:val="0"/>
          <w:sz w:val="24"/>
          <w:highlight w:val="none"/>
        </w:rPr>
        <w:t>投标人须知（含前附表）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Style w:val="30"/>
          <w:rFonts w:hint="eastAsia" w:ascii="宋体" w:hAnsi="宋体" w:cs="宋体"/>
          <w:color w:val="auto"/>
          <w:sz w:val="24"/>
          <w:highlight w:val="none"/>
        </w:rPr>
        <w:t>6</w:t>
      </w:r>
    </w:p>
    <w:p w14:paraId="1A801C10">
      <w:pPr>
        <w:pStyle w:val="2"/>
        <w:tabs>
          <w:tab w:val="right" w:leader="dot" w:pos="9061"/>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"_Toc83886026" </w:instrText>
      </w:r>
      <w:r>
        <w:rPr>
          <w:color w:val="auto"/>
          <w:highlight w:val="none"/>
        </w:rPr>
        <w:fldChar w:fldCharType="separate"/>
      </w:r>
      <w:r>
        <w:rPr>
          <w:rStyle w:val="30"/>
          <w:rFonts w:hint="eastAsia" w:ascii="宋体" w:hAnsi="宋体" w:cs="宋体"/>
          <w:color w:val="auto"/>
          <w:sz w:val="24"/>
          <w:highlight w:val="none"/>
        </w:rPr>
        <w:t>第三章  用户需求和技术要求</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Style w:val="30"/>
          <w:rFonts w:hint="eastAsia" w:ascii="宋体" w:hAnsi="宋体" w:cs="宋体"/>
          <w:color w:val="auto"/>
          <w:sz w:val="24"/>
          <w:highlight w:val="none"/>
        </w:rPr>
        <w:t>23</w:t>
      </w:r>
    </w:p>
    <w:p w14:paraId="3FC15C37">
      <w:pPr>
        <w:pStyle w:val="2"/>
        <w:tabs>
          <w:tab w:val="right" w:leader="dot" w:pos="9061"/>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"_Toc83886029" </w:instrText>
      </w:r>
      <w:r>
        <w:rPr>
          <w:color w:val="auto"/>
          <w:highlight w:val="none"/>
        </w:rPr>
        <w:fldChar w:fldCharType="separate"/>
      </w:r>
      <w:r>
        <w:rPr>
          <w:rStyle w:val="30"/>
          <w:rFonts w:hint="eastAsia" w:ascii="宋体" w:hAnsi="宋体" w:cs="宋体"/>
          <w:color w:val="auto"/>
          <w:sz w:val="24"/>
          <w:highlight w:val="none"/>
        </w:rPr>
        <w:t>第四章  评标方法及</w:t>
      </w:r>
      <w:bookmarkStart w:id="1" w:name="_Hlt98859654"/>
      <w:r>
        <w:rPr>
          <w:rStyle w:val="30"/>
          <w:rFonts w:hint="eastAsia" w:ascii="宋体" w:hAnsi="宋体" w:cs="宋体"/>
          <w:color w:val="auto"/>
          <w:sz w:val="24"/>
          <w:highlight w:val="none"/>
        </w:rPr>
        <w:t>评</w:t>
      </w:r>
      <w:bookmarkEnd w:id="1"/>
      <w:r>
        <w:rPr>
          <w:rStyle w:val="30"/>
          <w:rFonts w:hint="eastAsia" w:ascii="宋体" w:hAnsi="宋体" w:cs="宋体"/>
          <w:color w:val="auto"/>
          <w:sz w:val="24"/>
          <w:highlight w:val="none"/>
        </w:rPr>
        <w:t>价标准</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Style w:val="30"/>
          <w:rFonts w:hint="eastAsia" w:ascii="宋体" w:hAnsi="宋体" w:cs="宋体"/>
          <w:color w:val="auto"/>
          <w:sz w:val="24"/>
          <w:highlight w:val="none"/>
        </w:rPr>
        <w:t>26</w:t>
      </w:r>
    </w:p>
    <w:p w14:paraId="77FB91FA">
      <w:pPr>
        <w:pStyle w:val="2"/>
        <w:tabs>
          <w:tab w:val="right" w:leader="dot" w:pos="9061"/>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"_Toc83886039" </w:instrText>
      </w:r>
      <w:r>
        <w:rPr>
          <w:color w:val="auto"/>
          <w:highlight w:val="none"/>
        </w:rPr>
        <w:fldChar w:fldCharType="separate"/>
      </w:r>
      <w:r>
        <w:rPr>
          <w:rStyle w:val="30"/>
          <w:rFonts w:hint="eastAsia" w:ascii="宋体" w:hAnsi="宋体" w:cs="宋体"/>
          <w:color w:val="auto"/>
          <w:sz w:val="24"/>
          <w:highlight w:val="none"/>
        </w:rPr>
        <w:t>第五章  投标文件格式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Style w:val="30"/>
          <w:rFonts w:hint="eastAsia" w:ascii="宋体" w:hAnsi="宋体" w:cs="宋体"/>
          <w:color w:val="auto"/>
          <w:sz w:val="24"/>
          <w:highlight w:val="none"/>
        </w:rPr>
        <w:t>31</w:t>
      </w:r>
    </w:p>
    <w:p w14:paraId="091C2886">
      <w:pPr>
        <w:pStyle w:val="2"/>
        <w:tabs>
          <w:tab w:val="right" w:leader="dot" w:pos="9061"/>
        </w:tabs>
        <w:spacing w:line="360" w:lineRule="auto"/>
        <w:rPr>
          <w:rFonts w:ascii="宋体" w:hAnsi="宋体" w:cs="宋体"/>
          <w:color w:val="auto"/>
          <w:sz w:val="24"/>
          <w:highlight w:val="none"/>
        </w:rPr>
      </w:pPr>
      <w:r>
        <w:rPr>
          <w:color w:val="auto"/>
          <w:highlight w:val="none"/>
        </w:rPr>
        <w:fldChar w:fldCharType="begin"/>
      </w:r>
      <w:r>
        <w:rPr>
          <w:color w:val="auto"/>
          <w:highlight w:val="none"/>
        </w:rPr>
        <w:instrText xml:space="preserve"> HYPERLINK \l "_Toc83886047" </w:instrText>
      </w:r>
      <w:r>
        <w:rPr>
          <w:color w:val="auto"/>
          <w:highlight w:val="none"/>
        </w:rPr>
        <w:fldChar w:fldCharType="separate"/>
      </w:r>
      <w:r>
        <w:rPr>
          <w:rStyle w:val="30"/>
          <w:rFonts w:hint="eastAsia" w:ascii="宋体" w:hAnsi="宋体" w:cs="宋体"/>
          <w:color w:val="auto"/>
          <w:sz w:val="24"/>
          <w:highlight w:val="none"/>
        </w:rPr>
        <w:t>第六章  合同条款及格式</w:t>
      </w:r>
      <w:r>
        <w:rPr>
          <w:rFonts w:hint="eastAsia" w:ascii="宋体" w:hAnsi="宋体" w:cs="宋体"/>
          <w:color w:val="auto"/>
          <w:sz w:val="24"/>
          <w:highlight w:val="none"/>
        </w:rPr>
        <w:tab/>
      </w:r>
      <w:r>
        <w:rPr>
          <w:rFonts w:hint="eastAsia" w:ascii="宋体" w:hAnsi="宋体" w:cs="宋体"/>
          <w:color w:val="auto"/>
          <w:sz w:val="24"/>
          <w:highlight w:val="none"/>
        </w:rPr>
        <w:fldChar w:fldCharType="end"/>
      </w:r>
      <w:r>
        <w:rPr>
          <w:rStyle w:val="30"/>
          <w:rFonts w:hint="eastAsia" w:ascii="宋体" w:hAnsi="宋体" w:cs="宋体"/>
          <w:color w:val="auto"/>
          <w:sz w:val="24"/>
          <w:highlight w:val="none"/>
        </w:rPr>
        <w:t>52</w:t>
      </w:r>
    </w:p>
    <w:p w14:paraId="221A85CB">
      <w:pPr>
        <w:widowControl/>
        <w:spacing w:line="480" w:lineRule="exact"/>
        <w:jc w:val="center"/>
        <w:rPr>
          <w:rFonts w:ascii="宋体" w:hAnsi="宋体" w:eastAsia="宋体" w:cs="宋体"/>
          <w:color w:val="auto"/>
          <w:sz w:val="24"/>
          <w:highlight w:val="none"/>
        </w:rPr>
        <w:sectPr>
          <w:headerReference r:id="rId6" w:type="first"/>
          <w:headerReference r:id="rId4" w:type="default"/>
          <w:footerReference r:id="rId7" w:type="default"/>
          <w:headerReference r:id="rId5" w:type="even"/>
          <w:footerReference r:id="rId8" w:type="even"/>
          <w:pgSz w:w="11906" w:h="16838"/>
          <w:pgMar w:top="1440" w:right="1080" w:bottom="1440" w:left="1080" w:header="0" w:footer="714" w:gutter="0"/>
          <w:pgNumType w:start="1"/>
          <w:cols w:space="720" w:num="1"/>
          <w:docGrid w:linePitch="286" w:charSpace="0"/>
        </w:sectPr>
      </w:pPr>
      <w:r>
        <w:rPr>
          <w:rFonts w:hint="eastAsia" w:ascii="宋体" w:hAnsi="宋体" w:eastAsia="宋体" w:cs="宋体"/>
          <w:color w:val="auto"/>
          <w:sz w:val="24"/>
          <w:highlight w:val="none"/>
        </w:rPr>
        <w:fldChar w:fldCharType="end"/>
      </w:r>
    </w:p>
    <w:p w14:paraId="1A82F4E6">
      <w:pPr>
        <w:widowControl/>
        <w:spacing w:line="480" w:lineRule="exact"/>
        <w:jc w:val="center"/>
        <w:outlineLvl w:val="0"/>
        <w:rPr>
          <w:rFonts w:ascii="宋体" w:hAnsi="宋体" w:eastAsia="宋体" w:cs="宋体"/>
          <w:color w:val="auto"/>
          <w:kern w:val="0"/>
          <w:szCs w:val="32"/>
          <w:highlight w:val="none"/>
        </w:rPr>
      </w:pPr>
      <w:r>
        <w:rPr>
          <w:rFonts w:hint="eastAsia" w:ascii="宋体" w:hAnsi="宋体" w:eastAsia="宋体" w:cs="宋体"/>
          <w:color w:val="auto"/>
          <w:kern w:val="0"/>
          <w:szCs w:val="32"/>
          <w:highlight w:val="none"/>
        </w:rPr>
        <w:t>第一章 招标公告</w:t>
      </w:r>
    </w:p>
    <w:p w14:paraId="2CF9D5C7">
      <w:pPr>
        <w:adjustRightInd w:val="0"/>
        <w:snapToGrid w:val="0"/>
        <w:spacing w:line="360" w:lineRule="auto"/>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078AEBF1">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u w:val="single"/>
        </w:rPr>
        <w:t>杭州天子岭发电有限公司</w:t>
      </w:r>
      <w:r>
        <w:rPr>
          <w:rFonts w:hint="eastAsia" w:ascii="宋体" w:hAnsi="宋体" w:eastAsia="宋体" w:cs="宋体"/>
          <w:color w:val="auto"/>
          <w:sz w:val="24"/>
          <w:highlight w:val="none"/>
        </w:rPr>
        <w:t>委托招标代理机构</w:t>
      </w:r>
      <w:r>
        <w:rPr>
          <w:rFonts w:hint="eastAsia" w:ascii="宋体" w:hAnsi="宋体" w:eastAsia="宋体" w:cs="宋体"/>
          <w:color w:val="auto"/>
          <w:sz w:val="24"/>
          <w:highlight w:val="none"/>
          <w:u w:val="single"/>
          <w:lang w:val="zh-CN"/>
        </w:rPr>
        <w:t>中冠管理咨询有限公司</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2025年污染源(废气)在线监测系统运维服务</w:t>
      </w:r>
      <w:r>
        <w:rPr>
          <w:rFonts w:hint="eastAsia" w:ascii="宋体" w:hAnsi="宋体" w:eastAsia="宋体" w:cs="宋体"/>
          <w:color w:val="auto"/>
          <w:sz w:val="24"/>
          <w:highlight w:val="none"/>
        </w:rPr>
        <w:t>进行公开招标，欢迎对本项目有兴趣并符合投标人资格条件的投标人参加投标。</w:t>
      </w:r>
    </w:p>
    <w:p w14:paraId="778A3C50">
      <w:pP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1、招标编号：</w:t>
      </w:r>
      <w:r>
        <w:rPr>
          <w:rFonts w:hint="eastAsia" w:ascii="宋体" w:hAnsi="宋体" w:eastAsia="宋体" w:cs="宋体"/>
          <w:b/>
          <w:color w:val="auto"/>
          <w:sz w:val="24"/>
          <w:highlight w:val="none"/>
          <w:u w:val="single"/>
        </w:rPr>
        <w:t>NY-1FZB2411132</w:t>
      </w:r>
      <w:r>
        <w:rPr>
          <w:rFonts w:hint="eastAsia" w:ascii="宋体" w:hAnsi="宋体" w:eastAsia="宋体" w:cs="宋体"/>
          <w:bCs/>
          <w:color w:val="auto"/>
          <w:sz w:val="24"/>
          <w:highlight w:val="none"/>
        </w:rPr>
        <w:t>。</w:t>
      </w:r>
      <w:r>
        <w:rPr>
          <w:rFonts w:hint="eastAsia" w:ascii="宋体" w:hAnsi="宋体" w:eastAsia="宋体" w:cs="宋体"/>
          <w:b/>
          <w:color w:val="auto"/>
          <w:sz w:val="24"/>
          <w:highlight w:val="none"/>
        </w:rPr>
        <w:t xml:space="preserve"> </w:t>
      </w:r>
    </w:p>
    <w:p w14:paraId="0D38B902">
      <w:pP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2、项目名称:</w:t>
      </w:r>
      <w:r>
        <w:rPr>
          <w:rFonts w:hint="eastAsia" w:ascii="宋体" w:hAnsi="宋体" w:eastAsia="宋体" w:cs="宋体"/>
          <w:color w:val="auto"/>
          <w:sz w:val="24"/>
          <w:highlight w:val="none"/>
          <w:u w:val="single"/>
        </w:rPr>
        <w:t>2025年污染源(废气)在线监测系统运维服务</w:t>
      </w:r>
      <w:r>
        <w:rPr>
          <w:rFonts w:hint="eastAsia" w:ascii="宋体" w:hAnsi="宋体" w:eastAsia="宋体" w:cs="宋体"/>
          <w:bCs/>
          <w:color w:val="auto"/>
          <w:sz w:val="24"/>
          <w:highlight w:val="none"/>
        </w:rPr>
        <w:t>。</w:t>
      </w:r>
    </w:p>
    <w:p w14:paraId="541E4396">
      <w:pPr>
        <w:adjustRightInd w:val="0"/>
        <w:snapToGrid w:val="0"/>
        <w:spacing w:line="360" w:lineRule="auto"/>
        <w:ind w:firstLine="482" w:firstLineChars="200"/>
        <w:rPr>
          <w:rFonts w:ascii="宋体" w:hAnsi="宋体" w:eastAsia="宋体" w:cs="宋体"/>
          <w:bCs/>
          <w:color w:val="auto"/>
          <w:sz w:val="24"/>
          <w:highlight w:val="none"/>
        </w:rPr>
      </w:pPr>
      <w:r>
        <w:rPr>
          <w:rFonts w:hint="eastAsia" w:ascii="宋体" w:hAnsi="宋体" w:eastAsia="宋体" w:cs="宋体"/>
          <w:b/>
          <w:color w:val="auto"/>
          <w:sz w:val="24"/>
          <w:highlight w:val="none"/>
        </w:rPr>
        <w:t>3、项目地点：</w:t>
      </w:r>
      <w:r>
        <w:rPr>
          <w:rFonts w:hint="eastAsia" w:ascii="宋体" w:hAnsi="宋体" w:eastAsia="宋体" w:cs="宋体"/>
          <w:bCs/>
          <w:color w:val="auto"/>
          <w:sz w:val="24"/>
          <w:highlight w:val="none"/>
          <w:u w:val="single"/>
        </w:rPr>
        <w:t>杭州市（招标人指定地点）</w:t>
      </w:r>
      <w:r>
        <w:rPr>
          <w:rFonts w:hint="eastAsia" w:ascii="宋体" w:hAnsi="宋体" w:eastAsia="宋体" w:cs="宋体"/>
          <w:bCs/>
          <w:color w:val="auto"/>
          <w:sz w:val="24"/>
          <w:highlight w:val="none"/>
        </w:rPr>
        <w:t>。</w:t>
      </w:r>
    </w:p>
    <w:p w14:paraId="2813C4BC">
      <w:pPr>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4、项目最高限价：</w:t>
      </w:r>
      <w:r>
        <w:rPr>
          <w:rFonts w:hint="eastAsia" w:ascii="宋体" w:hAnsi="宋体" w:eastAsia="宋体" w:cs="宋体"/>
          <w:b/>
          <w:color w:val="auto"/>
          <w:sz w:val="24"/>
          <w:highlight w:val="none"/>
          <w:u w:val="single"/>
        </w:rPr>
        <w:t>总价最高限价120万元（含税）；单价最高限价15万元/套/年，</w:t>
      </w:r>
      <w:r>
        <w:rPr>
          <w:rFonts w:hint="eastAsia" w:ascii="宋体" w:hAnsi="宋体" w:eastAsia="宋体" w:cs="宋体"/>
          <w:b/>
          <w:bCs/>
          <w:snapToGrid w:val="0"/>
          <w:color w:val="auto"/>
          <w:sz w:val="24"/>
          <w:highlight w:val="none"/>
          <w:u w:val="single"/>
          <w:lang w:val="zh-CN"/>
        </w:rPr>
        <w:t>投标人的投标报价超过总价限价</w:t>
      </w:r>
      <w:r>
        <w:rPr>
          <w:rFonts w:hint="eastAsia" w:ascii="宋体" w:hAnsi="宋体" w:eastAsia="宋体" w:cs="宋体"/>
          <w:b/>
          <w:bCs/>
          <w:snapToGrid w:val="0"/>
          <w:color w:val="auto"/>
          <w:sz w:val="24"/>
          <w:highlight w:val="none"/>
          <w:u w:val="single"/>
        </w:rPr>
        <w:t>或</w:t>
      </w:r>
      <w:r>
        <w:rPr>
          <w:rFonts w:hint="eastAsia" w:ascii="宋体" w:hAnsi="宋体" w:eastAsia="宋体" w:cs="宋体"/>
          <w:b/>
          <w:bCs/>
          <w:snapToGrid w:val="0"/>
          <w:color w:val="auto"/>
          <w:sz w:val="24"/>
          <w:highlight w:val="none"/>
          <w:u w:val="single"/>
          <w:lang w:val="zh-CN"/>
        </w:rPr>
        <w:t>单价限价的，将作无效标处理</w:t>
      </w:r>
      <w:r>
        <w:rPr>
          <w:rFonts w:hint="eastAsia" w:ascii="宋体" w:hAnsi="宋体" w:eastAsia="宋体" w:cs="宋体"/>
          <w:b/>
          <w:color w:val="auto"/>
          <w:sz w:val="24"/>
          <w:highlight w:val="none"/>
        </w:rPr>
        <w:t>。</w:t>
      </w:r>
    </w:p>
    <w:p w14:paraId="196F21B6">
      <w:pPr>
        <w:adjustRightInd w:val="0"/>
        <w:snapToGrid w:val="0"/>
        <w:spacing w:line="360" w:lineRule="auto"/>
        <w:ind w:firstLine="482" w:firstLineChars="200"/>
        <w:rPr>
          <w:rFonts w:ascii="宋体" w:hAnsi="宋体" w:eastAsia="宋体" w:cs="宋体"/>
          <w:bCs/>
          <w:color w:val="auto"/>
          <w:sz w:val="24"/>
          <w:highlight w:val="none"/>
          <w:u w:val="single"/>
        </w:rPr>
      </w:pPr>
      <w:r>
        <w:rPr>
          <w:rFonts w:hint="eastAsia" w:ascii="宋体" w:hAnsi="宋体" w:eastAsia="宋体" w:cs="宋体"/>
          <w:b/>
          <w:color w:val="auto"/>
          <w:sz w:val="24"/>
          <w:highlight w:val="none"/>
        </w:rPr>
        <w:t>5、招标人：</w:t>
      </w:r>
      <w:r>
        <w:rPr>
          <w:rFonts w:hint="eastAsia" w:ascii="宋体" w:hAnsi="宋体" w:eastAsia="宋体" w:cs="宋体"/>
          <w:bCs/>
          <w:color w:val="auto"/>
          <w:sz w:val="24"/>
          <w:highlight w:val="none"/>
          <w:u w:val="single"/>
        </w:rPr>
        <w:t>杭州天子岭发电有限公司</w:t>
      </w:r>
    </w:p>
    <w:p w14:paraId="576D0C8C">
      <w:pP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6、招标范围及内容：</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1"/>
        <w:gridCol w:w="4121"/>
        <w:gridCol w:w="867"/>
        <w:gridCol w:w="1460"/>
        <w:gridCol w:w="867"/>
      </w:tblGrid>
      <w:tr w14:paraId="598A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26" w:type="pct"/>
            <w:shd w:val="clear" w:color="auto" w:fill="auto"/>
            <w:vAlign w:val="center"/>
          </w:tcPr>
          <w:p w14:paraId="0D87310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069" w:type="pct"/>
            <w:shd w:val="clear" w:color="auto" w:fill="auto"/>
            <w:vAlign w:val="center"/>
          </w:tcPr>
          <w:p w14:paraId="166F942F">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型号规格</w:t>
            </w:r>
          </w:p>
        </w:tc>
        <w:tc>
          <w:tcPr>
            <w:tcW w:w="435" w:type="pct"/>
            <w:shd w:val="clear" w:color="auto" w:fill="auto"/>
            <w:vAlign w:val="center"/>
          </w:tcPr>
          <w:p w14:paraId="519497FB">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733" w:type="pct"/>
            <w:shd w:val="clear" w:color="auto" w:fill="auto"/>
            <w:vAlign w:val="center"/>
          </w:tcPr>
          <w:p w14:paraId="4C9747E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方式</w:t>
            </w:r>
          </w:p>
        </w:tc>
        <w:tc>
          <w:tcPr>
            <w:tcW w:w="435" w:type="pct"/>
            <w:shd w:val="clear" w:color="auto" w:fill="auto"/>
            <w:vAlign w:val="center"/>
          </w:tcPr>
          <w:p w14:paraId="62AE734F">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年限</w:t>
            </w:r>
          </w:p>
        </w:tc>
      </w:tr>
      <w:tr w14:paraId="411A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6" w:type="pct"/>
            <w:shd w:val="clear" w:color="auto" w:fill="auto"/>
            <w:vAlign w:val="center"/>
          </w:tcPr>
          <w:p w14:paraId="32EA3A5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废气在线监测系统及配套系统驻场运维服务</w:t>
            </w:r>
          </w:p>
        </w:tc>
        <w:tc>
          <w:tcPr>
            <w:tcW w:w="2069" w:type="pct"/>
            <w:shd w:val="clear" w:color="auto" w:fill="auto"/>
            <w:vAlign w:val="center"/>
          </w:tcPr>
          <w:p w14:paraId="5ECD1CC8">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聚光稀释法烟气连续监测系统</w:t>
            </w:r>
          </w:p>
          <w:p w14:paraId="7DD60430">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CEMS-2000 D</w:t>
            </w:r>
          </w:p>
        </w:tc>
        <w:tc>
          <w:tcPr>
            <w:tcW w:w="435" w:type="pct"/>
            <w:shd w:val="clear" w:color="auto" w:fill="auto"/>
            <w:vAlign w:val="center"/>
          </w:tcPr>
          <w:p w14:paraId="166B95FC">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8套</w:t>
            </w:r>
          </w:p>
        </w:tc>
        <w:tc>
          <w:tcPr>
            <w:tcW w:w="733" w:type="pct"/>
            <w:shd w:val="clear" w:color="auto" w:fill="auto"/>
            <w:vAlign w:val="center"/>
          </w:tcPr>
          <w:p w14:paraId="3865916E">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运行维护</w:t>
            </w:r>
          </w:p>
        </w:tc>
        <w:tc>
          <w:tcPr>
            <w:tcW w:w="435" w:type="pct"/>
            <w:shd w:val="clear" w:color="auto" w:fill="auto"/>
            <w:vAlign w:val="center"/>
          </w:tcPr>
          <w:p w14:paraId="2B88FB3C">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1年</w:t>
            </w:r>
          </w:p>
        </w:tc>
      </w:tr>
    </w:tbl>
    <w:p w14:paraId="41A451E0">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 具体需求详见招标文件第三章“用户需求书”。</w:t>
      </w:r>
    </w:p>
    <w:p w14:paraId="57E5CD20">
      <w:pP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7、投标人资格条件</w:t>
      </w:r>
    </w:p>
    <w:p w14:paraId="25FB1ACB">
      <w:pPr>
        <w:adjustRightInd w:val="0"/>
        <w:snapToGrid w:val="0"/>
        <w:spacing w:line="360" w:lineRule="auto"/>
        <w:ind w:firstLine="480" w:firstLineChars="200"/>
        <w:rPr>
          <w:rFonts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（1）在中华人民共和国境内注册，具有独立法人资格。提供营业执照（或者事业单位法人证书、社会团体法人登记证书、其他组织登记证明文件）副本复印件（加盖公章）；</w:t>
      </w:r>
    </w:p>
    <w:p w14:paraId="2D3FB33E">
      <w:pPr>
        <w:adjustRightInd w:val="0"/>
        <w:snapToGrid w:val="0"/>
        <w:spacing w:line="360" w:lineRule="auto"/>
        <w:ind w:firstLine="480" w:firstLineChars="200"/>
        <w:rPr>
          <w:rFonts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w:t>
      </w:r>
      <w:r>
        <w:rPr>
          <w:rFonts w:hint="eastAsia" w:ascii="宋体" w:hAnsi="宋体" w:eastAsia="宋体" w:cs="宋体"/>
          <w:snapToGrid w:val="0"/>
          <w:color w:val="auto"/>
          <w:kern w:val="0"/>
          <w:sz w:val="24"/>
          <w:highlight w:val="none"/>
        </w:rPr>
        <w:t>2</w:t>
      </w:r>
      <w:r>
        <w:rPr>
          <w:rFonts w:hint="eastAsia" w:ascii="宋体" w:hAnsi="宋体" w:eastAsia="宋体" w:cs="宋体"/>
          <w:snapToGrid w:val="0"/>
          <w:color w:val="auto"/>
          <w:kern w:val="0"/>
          <w:sz w:val="24"/>
          <w:highlight w:val="none"/>
          <w:lang w:val="zh-CN"/>
        </w:rPr>
        <w:t>）投标人在“信用中国”（www.creditchina.gov.cn）、中国政府采购网（www.ccgp.gov.cn）等其他官方网站没有被列入失信被执行人、重大税收违法案件当事人名单、政府采购严重违法失信行为记录名单、有责合同纠纷等不良记录（投标人无需提供，以招标代理开标当日网站查询结果为准）；</w:t>
      </w:r>
    </w:p>
    <w:p w14:paraId="525B71FD">
      <w:pPr>
        <w:adjustRightInd w:val="0"/>
        <w:snapToGrid w:val="0"/>
        <w:spacing w:line="360" w:lineRule="auto"/>
        <w:ind w:firstLine="480" w:firstLineChars="200"/>
        <w:rPr>
          <w:rFonts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w:t>
      </w:r>
      <w:r>
        <w:rPr>
          <w:rFonts w:hint="eastAsia" w:ascii="宋体" w:hAnsi="宋体" w:eastAsia="宋体" w:cs="宋体"/>
          <w:snapToGrid w:val="0"/>
          <w:color w:val="auto"/>
          <w:kern w:val="0"/>
          <w:sz w:val="24"/>
          <w:highlight w:val="none"/>
          <w:lang w:val="en-US" w:eastAsia="zh-CN"/>
        </w:rPr>
        <w:t>3</w:t>
      </w:r>
      <w:r>
        <w:rPr>
          <w:rFonts w:hint="eastAsia" w:ascii="宋体" w:hAnsi="宋体" w:eastAsia="宋体" w:cs="宋体"/>
          <w:snapToGrid w:val="0"/>
          <w:color w:val="auto"/>
          <w:kern w:val="0"/>
          <w:sz w:val="24"/>
          <w:highlight w:val="none"/>
          <w:lang w:val="zh-CN"/>
        </w:rPr>
        <w:t>）投标单位在</w:t>
      </w:r>
      <w:r>
        <w:rPr>
          <w:rFonts w:hint="eastAsia" w:ascii="宋体" w:hAnsi="宋体" w:eastAsia="宋体" w:cs="宋体"/>
          <w:snapToGrid w:val="0"/>
          <w:color w:val="auto"/>
          <w:kern w:val="0"/>
          <w:sz w:val="24"/>
          <w:highlight w:val="none"/>
        </w:rPr>
        <w:t>2021年11月1日（以合同签订时间为准）至投标截止日以来具有</w:t>
      </w: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lang w:val="zh-CN"/>
        </w:rPr>
        <w:t>个</w:t>
      </w:r>
      <w:r>
        <w:rPr>
          <w:rFonts w:hint="eastAsia" w:ascii="宋体" w:hAnsi="宋体" w:eastAsia="宋体" w:cs="宋体"/>
          <w:snapToGrid w:val="0"/>
          <w:color w:val="auto"/>
          <w:kern w:val="0"/>
          <w:sz w:val="24"/>
          <w:highlight w:val="none"/>
        </w:rPr>
        <w:t>烟气在线监测运维</w:t>
      </w:r>
      <w:r>
        <w:rPr>
          <w:rFonts w:hint="eastAsia" w:ascii="宋体" w:hAnsi="宋体" w:eastAsia="宋体" w:cs="宋体"/>
          <w:snapToGrid w:val="0"/>
          <w:color w:val="auto"/>
          <w:kern w:val="0"/>
          <w:sz w:val="24"/>
          <w:highlight w:val="none"/>
          <w:lang w:val="zh-CN"/>
        </w:rPr>
        <w:t>项目业绩（</w:t>
      </w:r>
      <w:r>
        <w:rPr>
          <w:rFonts w:hint="eastAsia" w:ascii="宋体" w:hAnsi="宋体" w:eastAsia="宋体" w:cs="宋体"/>
          <w:snapToGrid w:val="0"/>
          <w:color w:val="auto"/>
          <w:kern w:val="0"/>
          <w:sz w:val="24"/>
          <w:highlight w:val="none"/>
        </w:rPr>
        <w:t>证明材料：提供合同复印件并加盖公章</w:t>
      </w:r>
      <w:r>
        <w:rPr>
          <w:rFonts w:hint="eastAsia" w:ascii="宋体" w:hAnsi="宋体" w:eastAsia="宋体" w:cs="宋体"/>
          <w:snapToGrid w:val="0"/>
          <w:color w:val="auto"/>
          <w:kern w:val="0"/>
          <w:sz w:val="24"/>
          <w:highlight w:val="none"/>
          <w:lang w:val="zh-CN"/>
        </w:rPr>
        <w:t>）；</w:t>
      </w:r>
    </w:p>
    <w:p w14:paraId="1930D5D9">
      <w:pPr>
        <w:adjustRightInd w:val="0"/>
        <w:snapToGrid w:val="0"/>
        <w:spacing w:line="360" w:lineRule="auto"/>
        <w:ind w:firstLine="480" w:firstLineChars="200"/>
        <w:rPr>
          <w:rFonts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w:t>
      </w:r>
      <w:r>
        <w:rPr>
          <w:rFonts w:hint="eastAsia" w:ascii="宋体" w:hAnsi="宋体" w:eastAsia="宋体" w:cs="宋体"/>
          <w:snapToGrid w:val="0"/>
          <w:color w:val="auto"/>
          <w:kern w:val="0"/>
          <w:sz w:val="24"/>
          <w:highlight w:val="none"/>
          <w:lang w:val="en-US" w:eastAsia="zh-CN"/>
        </w:rPr>
        <w:t>4</w:t>
      </w:r>
      <w:r>
        <w:rPr>
          <w:rFonts w:hint="eastAsia" w:ascii="宋体" w:hAnsi="宋体" w:eastAsia="宋体" w:cs="宋体"/>
          <w:snapToGrid w:val="0"/>
          <w:color w:val="auto"/>
          <w:kern w:val="0"/>
          <w:sz w:val="24"/>
          <w:highlight w:val="none"/>
          <w:lang w:val="zh-CN"/>
        </w:rPr>
        <w:t>）与招标人存在利害关系可能影响招标公正性的单位，不得参加本项目投标。单位负责人为同一人或者存在控股、管理、关联关系的不同单位，不得同时参加本招标项目投标；</w:t>
      </w:r>
    </w:p>
    <w:p w14:paraId="01889EA2">
      <w:pPr>
        <w:adjustRightInd w:val="0"/>
        <w:snapToGrid w:val="0"/>
        <w:spacing w:line="360" w:lineRule="auto"/>
        <w:ind w:firstLine="480" w:firstLineChars="200"/>
        <w:rPr>
          <w:rFonts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w:t>
      </w:r>
      <w:r>
        <w:rPr>
          <w:rFonts w:hint="eastAsia" w:ascii="宋体" w:hAnsi="宋体" w:eastAsia="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lang w:val="zh-CN"/>
        </w:rPr>
        <w:t>）本项目不接受联合体投标。</w:t>
      </w:r>
    </w:p>
    <w:p w14:paraId="713A5430">
      <w:pPr>
        <w:adjustRightInd w:val="0"/>
        <w:snapToGrid w:val="0"/>
        <w:spacing w:line="360" w:lineRule="auto"/>
        <w:ind w:firstLine="480" w:firstLineChars="200"/>
        <w:rPr>
          <w:rFonts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注：上述证明资料须齐全、有效，复印件应加盖投标人单位公章（非电子投标项目所盖印章均物理印章，加盖电子印章的将被视为无效，下同），并在投标文件中提供。</w:t>
      </w:r>
    </w:p>
    <w:p w14:paraId="65BC9D23">
      <w:pPr>
        <w:adjustRightInd w:val="0"/>
        <w:snapToGrid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8、投标人登记认证</w:t>
      </w:r>
    </w:p>
    <w:p w14:paraId="0FE53C15">
      <w:pPr>
        <w:widowControl/>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凡首次参加杭州城投采购平台投标的投标人，应于投标截止日前（法定公休日、法定节假日除外）完成“杭州城投采购平台”注册登记和企业信息认证，并按招标公告要求完成网上报名。</w:t>
      </w:r>
    </w:p>
    <w:p w14:paraId="683EA879">
      <w:pPr>
        <w:widowControl/>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（1）“杭州城投采购平台”注册登记办理：</w:t>
      </w:r>
    </w:p>
    <w:p w14:paraId="46D228A9">
      <w:pPr>
        <w:widowControl/>
        <w:adjustRightInd w:val="0"/>
        <w:snapToGrid w:val="0"/>
        <w:spacing w:line="36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在杭州城投采购平台网站首页（https://jczx.hzcjtz.com/）“平台登录”栏目点击“立即注册”完成企业信息注册登记。咨询电话：400-0666-571。</w:t>
      </w:r>
    </w:p>
    <w:p w14:paraId="076EBB28">
      <w:pPr>
        <w:widowControl/>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杭州城投采购平台”企业信息认证：在杭州城投采购平台网站首页（https://jczx.hzcjtz.com/）点击“CA锁办理”跳转至CA锁办理平台自行完成企业CA锁办理，已在杭州市公共资源交易网办理天谷CA锁的投标人可以使用原有CA锁；使用已注册的管理员账号登录杭州城投采购平台，进入后台，点击“企业信息”菜单→“去认证”按钮，使用CA锁完成企业信息认证。咨询电话：400-0666-571）。</w:t>
      </w:r>
    </w:p>
    <w:p w14:paraId="3E0EA641">
      <w:pPr>
        <w:adjustRightInd w:val="0"/>
        <w:snapToGrid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9</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rPr>
        <w:t>招标文件获取方式如下:</w:t>
      </w:r>
    </w:p>
    <w:p w14:paraId="530CD258">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本项目不设置线下报名环节，但需按“投标入库登记”完成网上报名。具体要求如下：</w:t>
      </w:r>
    </w:p>
    <w:p w14:paraId="2DEE65CB">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（1）网上报名方式：投标截止日前完成登记认证后在杭州城投采购平台网站首页（https://jczx.hzcjtz.com）进行网上报名；如因供应商未按平台要求报名成功导致无法投标或开标异常的，供应商自行承担导致的后果。</w:t>
      </w:r>
    </w:p>
    <w:p w14:paraId="2DC3DED6">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（2）报名时须提交的资料：</w:t>
      </w:r>
    </w:p>
    <w:p w14:paraId="4E487329">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1.法定代表人授权委托书扫描件；</w:t>
      </w:r>
    </w:p>
    <w:p w14:paraId="4C76C74E">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2.营业执照扫描件；</w:t>
      </w:r>
    </w:p>
    <w:p w14:paraId="03C8EC42">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3.授权代表有效身份证扫描件；</w:t>
      </w:r>
    </w:p>
    <w:p w14:paraId="4E1C4930">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上述资料扫描件均需加盖单位公章</w:t>
      </w:r>
    </w:p>
    <w:p w14:paraId="2E308C88">
      <w:pPr>
        <w:numPr>
          <w:ilvl w:val="0"/>
          <w:numId w:val="1"/>
        </w:num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文件获取方式：本项目招标文件（含招标补充文件（若有）、相关技术资料和图纸（若有））以网上下载方式获取，下载网址：杭州城投采购平台（投标人在网站公告页查看公告附件信息，包含招标文件，招标文件需登录后进行下载）、浙江政府采购网、杭州市环境集团有限公司官网；</w:t>
      </w:r>
    </w:p>
    <w:p w14:paraId="178C0BEF">
      <w:pPr>
        <w:numPr>
          <w:ilvl w:val="0"/>
          <w:numId w:val="1"/>
        </w:num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下载时间：自本项目招标公告发布之日起至投标截止时间止（投标人对招标文件提出问题截止时间：2024年</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日17:00）。</w:t>
      </w:r>
    </w:p>
    <w:p w14:paraId="72B29116">
      <w:pP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10、投标截止时间和投标地点：</w:t>
      </w:r>
    </w:p>
    <w:p w14:paraId="4774DAD9">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（1）投标截止时间：</w:t>
      </w:r>
      <w:bookmarkStart w:id="2" w:name="OLE_LINK2"/>
      <w:r>
        <w:rPr>
          <w:rFonts w:hint="eastAsia" w:ascii="宋体" w:hAnsi="宋体" w:eastAsia="宋体" w:cs="宋体"/>
          <w:color w:val="auto"/>
          <w:sz w:val="24"/>
          <w:highlight w:val="none"/>
        </w:rPr>
        <w:t>2024年</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bookmarkEnd w:id="2"/>
      <w:r>
        <w:rPr>
          <w:rFonts w:hint="eastAsia" w:ascii="宋体" w:hAnsi="宋体" w:eastAsia="宋体" w:cs="宋体"/>
          <w:color w:val="auto"/>
          <w:sz w:val="24"/>
          <w:highlight w:val="none"/>
        </w:rPr>
        <w:t>（北京时间）</w:t>
      </w:r>
    </w:p>
    <w:p w14:paraId="68FC995C">
      <w:pPr>
        <w:adjustRightInd w:val="0"/>
        <w:snapToGrid w:val="0"/>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（2）投标地点：</w:t>
      </w:r>
      <w:r>
        <w:rPr>
          <w:rFonts w:hint="eastAsia" w:ascii="宋体" w:hAnsi="宋体" w:eastAsia="宋体" w:cs="宋体"/>
          <w:color w:val="auto"/>
          <w:sz w:val="24"/>
          <w:highlight w:val="none"/>
          <w:u w:val="single"/>
        </w:rPr>
        <w:t>杭州市上城区雷霆路90号</w:t>
      </w:r>
      <w:r>
        <w:rPr>
          <w:rFonts w:hint="eastAsia" w:ascii="宋体" w:hAnsi="宋体" w:eastAsia="宋体" w:cs="宋体"/>
          <w:color w:val="auto"/>
          <w:sz w:val="24"/>
          <w:highlight w:val="none"/>
          <w:u w:val="single"/>
          <w:lang w:val="en-US" w:eastAsia="zh-CN"/>
        </w:rPr>
        <w:t>316</w:t>
      </w:r>
      <w:r>
        <w:rPr>
          <w:rFonts w:hint="eastAsia" w:ascii="宋体" w:hAnsi="宋体" w:eastAsia="宋体" w:cs="宋体"/>
          <w:color w:val="auto"/>
          <w:sz w:val="24"/>
          <w:highlight w:val="none"/>
          <w:u w:val="single"/>
        </w:rPr>
        <w:t>开标室</w:t>
      </w:r>
    </w:p>
    <w:p w14:paraId="3D945928">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（3）开标时间：同投标截止时间。</w:t>
      </w:r>
    </w:p>
    <w:p w14:paraId="7F2D1B3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（4）开标地点：同投标地点。</w:t>
      </w:r>
    </w:p>
    <w:p w14:paraId="007AC67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（5）逾期送达的、未送达指定地点的或者不按照招标文件要求密封的投标文件，招标人将予以拒收。</w:t>
      </w:r>
    </w:p>
    <w:p w14:paraId="011D35ED">
      <w:pP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11、投标保证金</w:t>
      </w:r>
    </w:p>
    <w:p w14:paraId="58AA8563">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u w:val="single"/>
        </w:rPr>
        <w:sym w:font="Wingdings 2" w:char="0052"/>
      </w:r>
      <w:r>
        <w:rPr>
          <w:rFonts w:hint="eastAsia" w:ascii="宋体" w:hAnsi="宋体" w:eastAsia="宋体" w:cs="宋体"/>
          <w:color w:val="auto"/>
          <w:sz w:val="24"/>
          <w:highlight w:val="none"/>
          <w:u w:val="single"/>
        </w:rPr>
        <w:t>需要缴纳</w:t>
      </w:r>
      <w:r>
        <w:rPr>
          <w:rFonts w:hint="eastAsia" w:ascii="宋体" w:hAnsi="宋体" w:eastAsia="宋体" w:cs="宋体"/>
          <w:color w:val="auto"/>
          <w:sz w:val="24"/>
          <w:highlight w:val="none"/>
        </w:rPr>
        <w:t>投标保证金。缴纳投标保证金的具体要求如下：</w:t>
      </w:r>
    </w:p>
    <w:p w14:paraId="20CC0676">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(1）投标保证金金额：</w:t>
      </w:r>
      <w:r>
        <w:rPr>
          <w:rFonts w:hint="eastAsia" w:ascii="宋体" w:hAnsi="宋体" w:eastAsia="宋体" w:cs="宋体"/>
          <w:color w:val="auto"/>
          <w:sz w:val="24"/>
          <w:highlight w:val="none"/>
          <w:u w:val="single"/>
        </w:rPr>
        <w:t>20000</w:t>
      </w:r>
      <w:r>
        <w:rPr>
          <w:rFonts w:hint="eastAsia" w:ascii="宋体" w:hAnsi="宋体" w:eastAsia="宋体" w:cs="宋体"/>
          <w:color w:val="auto"/>
          <w:sz w:val="24"/>
          <w:highlight w:val="none"/>
        </w:rPr>
        <w:t>元人民币</w:t>
      </w:r>
    </w:p>
    <w:p w14:paraId="4E209FC7">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(2）递交方式：电汇/转账（必须为投标企业账户汇出，个人形式递交或现金递交视为未缴纳）</w:t>
      </w:r>
    </w:p>
    <w:p w14:paraId="549E7700">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(3）账户信息：</w:t>
      </w:r>
    </w:p>
    <w:p w14:paraId="5E480F71">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账户名称: 杭州市能源集团有限公司</w:t>
      </w:r>
    </w:p>
    <w:p w14:paraId="0D855718">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账号: 86041110000078615</w:t>
      </w:r>
    </w:p>
    <w:p w14:paraId="4F6ADC8E">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开户银行名称: 宁波银行杭州分行营业部</w:t>
      </w:r>
    </w:p>
    <w:p w14:paraId="519C0D33">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(4)递交时间：请于投标截止时间前到达上述指定账户中,且须单位账户递交。转账时备注项目名称及项目编号。</w:t>
      </w:r>
    </w:p>
    <w:p w14:paraId="6AB340A8">
      <w:pP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12、发布公告的媒介</w:t>
      </w:r>
    </w:p>
    <w:p w14:paraId="79C452C8">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本项目相关公告在</w:t>
      </w:r>
      <w:r>
        <w:rPr>
          <w:rFonts w:hint="eastAsia" w:ascii="宋体" w:hAnsi="宋体" w:eastAsia="宋体" w:cs="宋体"/>
          <w:color w:val="auto"/>
          <w:sz w:val="24"/>
          <w:highlight w:val="none"/>
          <w:u w:val="single"/>
        </w:rPr>
        <w:t>杭州市环境集团有限公司（https://www.cnlandfill.net/）、浙江政府采购网（http://zfcg.czt.zj.gov.cn/）、杭州城投招采平台（https://jczx.hzcjtz.com/home/#/home）</w:t>
      </w:r>
      <w:r>
        <w:rPr>
          <w:rFonts w:hint="eastAsia" w:ascii="宋体" w:hAnsi="宋体" w:eastAsia="宋体" w:cs="宋体"/>
          <w:color w:val="auto"/>
          <w:sz w:val="24"/>
          <w:highlight w:val="none"/>
        </w:rPr>
        <w:t xml:space="preserve"> 发布，如公告内容、时间不一致的以</w:t>
      </w:r>
      <w:r>
        <w:rPr>
          <w:rFonts w:hint="eastAsia" w:ascii="宋体" w:hAnsi="宋体" w:eastAsia="宋体" w:cs="宋体"/>
          <w:color w:val="auto"/>
          <w:sz w:val="24"/>
          <w:highlight w:val="none"/>
          <w:u w:val="single"/>
        </w:rPr>
        <w:t>杭州城投招采平台（https://jczx.hzcjtz.com/home/#/home）</w:t>
      </w:r>
      <w:r>
        <w:rPr>
          <w:rFonts w:hint="eastAsia" w:ascii="宋体" w:hAnsi="宋体" w:eastAsia="宋体" w:cs="宋体"/>
          <w:color w:val="auto"/>
          <w:sz w:val="24"/>
          <w:highlight w:val="none"/>
        </w:rPr>
        <w:t>发布的信息、时间为准。</w:t>
      </w:r>
    </w:p>
    <w:p w14:paraId="7BA8B61E">
      <w:pPr>
        <w:adjustRightInd w:val="0"/>
        <w:snapToGrid w:val="0"/>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13、联系方式</w:t>
      </w:r>
    </w:p>
    <w:p w14:paraId="125F99A8">
      <w:pPr>
        <w:pStyle w:val="8"/>
        <w:tabs>
          <w:tab w:val="left" w:pos="4228"/>
          <w:tab w:val="left" w:pos="7990"/>
        </w:tabs>
        <w:snapToGrid w:val="0"/>
        <w:spacing w:after="0" w:line="360" w:lineRule="auto"/>
        <w:ind w:right="865" w:firstLine="420"/>
        <w:rPr>
          <w:rFonts w:ascii="宋体" w:hAnsi="宋体" w:cs="宋体"/>
          <w:snapToGrid w:val="0"/>
          <w:color w:val="auto"/>
          <w:sz w:val="24"/>
          <w:szCs w:val="24"/>
          <w:highlight w:val="none"/>
          <w:u w:val="single"/>
        </w:rPr>
      </w:pPr>
      <w:r>
        <w:rPr>
          <w:rFonts w:hint="eastAsia" w:ascii="宋体" w:hAnsi="宋体" w:cs="宋体"/>
          <w:snapToGrid w:val="0"/>
          <w:color w:val="auto"/>
          <w:kern w:val="0"/>
          <w:sz w:val="24"/>
          <w:szCs w:val="24"/>
          <w:highlight w:val="none"/>
        </w:rPr>
        <w:t>招 标 人：</w:t>
      </w:r>
      <w:r>
        <w:rPr>
          <w:rFonts w:hint="eastAsia" w:ascii="宋体" w:hAnsi="宋体" w:cs="宋体"/>
          <w:snapToGrid w:val="0"/>
          <w:color w:val="auto"/>
          <w:sz w:val="24"/>
          <w:szCs w:val="24"/>
          <w:highlight w:val="none"/>
          <w:u w:val="single"/>
        </w:rPr>
        <w:t>杭州天子岭发电有限公司</w:t>
      </w:r>
    </w:p>
    <w:p w14:paraId="78968623">
      <w:pPr>
        <w:pStyle w:val="8"/>
        <w:tabs>
          <w:tab w:val="left" w:pos="4228"/>
          <w:tab w:val="left" w:pos="7990"/>
        </w:tabs>
        <w:snapToGrid w:val="0"/>
        <w:spacing w:after="0" w:line="360" w:lineRule="auto"/>
        <w:ind w:right="865" w:firstLine="420"/>
        <w:rPr>
          <w:rFonts w:ascii="宋体" w:hAnsi="宋体" w:cs="宋体"/>
          <w:snapToGrid w:val="0"/>
          <w:color w:val="auto"/>
          <w:sz w:val="24"/>
          <w:szCs w:val="24"/>
          <w:highlight w:val="none"/>
          <w:u w:val="single"/>
        </w:rPr>
      </w:pPr>
      <w:r>
        <w:rPr>
          <w:rFonts w:hint="eastAsia" w:ascii="宋体" w:hAnsi="宋体" w:cs="宋体"/>
          <w:snapToGrid w:val="0"/>
          <w:color w:val="auto"/>
          <w:kern w:val="0"/>
          <w:sz w:val="24"/>
          <w:szCs w:val="24"/>
          <w:highlight w:val="none"/>
        </w:rPr>
        <w:t>地    址：</w:t>
      </w:r>
      <w:r>
        <w:rPr>
          <w:rFonts w:hint="eastAsia" w:ascii="宋体" w:hAnsi="宋体" w:cs="宋体"/>
          <w:snapToGrid w:val="0"/>
          <w:color w:val="auto"/>
          <w:sz w:val="24"/>
          <w:szCs w:val="24"/>
          <w:highlight w:val="none"/>
          <w:u w:val="single"/>
        </w:rPr>
        <w:t>浙江省杭州市拱墅区临半路138-1号</w:t>
      </w:r>
    </w:p>
    <w:p w14:paraId="41A4F130">
      <w:pPr>
        <w:pStyle w:val="8"/>
        <w:tabs>
          <w:tab w:val="left" w:pos="4228"/>
          <w:tab w:val="left" w:pos="7990"/>
        </w:tabs>
        <w:snapToGrid w:val="0"/>
        <w:spacing w:after="0" w:line="360" w:lineRule="auto"/>
        <w:ind w:right="865" w:firstLine="420"/>
        <w:rPr>
          <w:rFonts w:ascii="宋体" w:hAnsi="宋体" w:cs="宋体"/>
          <w:snapToGrid w:val="0"/>
          <w:color w:val="auto"/>
          <w:sz w:val="24"/>
          <w:szCs w:val="24"/>
          <w:highlight w:val="none"/>
          <w:u w:val="single"/>
        </w:rPr>
      </w:pPr>
      <w:r>
        <w:rPr>
          <w:rFonts w:hint="eastAsia" w:ascii="宋体" w:hAnsi="宋体" w:cs="宋体"/>
          <w:snapToGrid w:val="0"/>
          <w:color w:val="auto"/>
          <w:kern w:val="0"/>
          <w:sz w:val="24"/>
          <w:szCs w:val="24"/>
          <w:highlight w:val="none"/>
        </w:rPr>
        <w:t>联 系 人：</w:t>
      </w:r>
      <w:r>
        <w:rPr>
          <w:rFonts w:hint="eastAsia" w:ascii="宋体" w:hAnsi="宋体" w:cs="宋体"/>
          <w:snapToGrid w:val="0"/>
          <w:color w:val="auto"/>
          <w:sz w:val="24"/>
          <w:szCs w:val="24"/>
          <w:highlight w:val="none"/>
          <w:u w:val="single"/>
        </w:rPr>
        <w:t>何工</w:t>
      </w:r>
    </w:p>
    <w:p w14:paraId="6FC59DAB">
      <w:pPr>
        <w:pStyle w:val="8"/>
        <w:tabs>
          <w:tab w:val="left" w:pos="4228"/>
          <w:tab w:val="left" w:pos="7990"/>
        </w:tabs>
        <w:snapToGrid w:val="0"/>
        <w:spacing w:after="0" w:line="360" w:lineRule="auto"/>
        <w:ind w:right="865" w:firstLine="420"/>
        <w:rPr>
          <w:rFonts w:ascii="宋体" w:hAnsi="宋体" w:cs="宋体"/>
          <w:snapToGrid w:val="0"/>
          <w:color w:val="auto"/>
          <w:sz w:val="24"/>
          <w:szCs w:val="24"/>
          <w:highlight w:val="none"/>
          <w:u w:val="single"/>
        </w:rPr>
      </w:pPr>
      <w:r>
        <w:rPr>
          <w:rFonts w:hint="eastAsia" w:ascii="宋体" w:hAnsi="宋体" w:cs="宋体"/>
          <w:snapToGrid w:val="0"/>
          <w:color w:val="auto"/>
          <w:kern w:val="0"/>
          <w:sz w:val="24"/>
          <w:szCs w:val="24"/>
          <w:highlight w:val="none"/>
        </w:rPr>
        <w:t>电    话：</w:t>
      </w:r>
      <w:r>
        <w:rPr>
          <w:rFonts w:hint="eastAsia" w:ascii="宋体" w:hAnsi="宋体" w:cs="宋体"/>
          <w:snapToGrid w:val="0"/>
          <w:color w:val="auto"/>
          <w:sz w:val="24"/>
          <w:szCs w:val="24"/>
          <w:highlight w:val="none"/>
          <w:u w:val="single"/>
        </w:rPr>
        <w:t>15168344626</w:t>
      </w:r>
    </w:p>
    <w:p w14:paraId="0B3EA428">
      <w:pPr>
        <w:pStyle w:val="8"/>
        <w:tabs>
          <w:tab w:val="left" w:pos="4228"/>
          <w:tab w:val="left" w:pos="7990"/>
        </w:tabs>
        <w:snapToGrid w:val="0"/>
        <w:spacing w:after="0" w:line="360" w:lineRule="auto"/>
        <w:ind w:right="865" w:firstLine="420"/>
        <w:rPr>
          <w:rFonts w:ascii="宋体" w:hAnsi="宋体" w:cs="宋体"/>
          <w:snapToGrid w:val="0"/>
          <w:color w:val="auto"/>
          <w:kern w:val="0"/>
          <w:sz w:val="24"/>
          <w:szCs w:val="24"/>
          <w:highlight w:val="none"/>
        </w:rPr>
      </w:pPr>
    </w:p>
    <w:p w14:paraId="7D2C4FE5">
      <w:pPr>
        <w:pStyle w:val="8"/>
        <w:tabs>
          <w:tab w:val="left" w:pos="4228"/>
          <w:tab w:val="left" w:pos="7990"/>
        </w:tabs>
        <w:snapToGrid w:val="0"/>
        <w:spacing w:after="0" w:line="360" w:lineRule="auto"/>
        <w:ind w:right="865" w:firstLine="420"/>
        <w:rPr>
          <w:rFonts w:ascii="宋体" w:hAnsi="宋体" w:cs="宋体"/>
          <w:snapToGrid w:val="0"/>
          <w:color w:val="auto"/>
          <w:kern w:val="0"/>
          <w:sz w:val="24"/>
          <w:szCs w:val="24"/>
          <w:highlight w:val="none"/>
          <w:u w:val="single"/>
        </w:rPr>
      </w:pPr>
      <w:r>
        <w:rPr>
          <w:rFonts w:hint="eastAsia" w:ascii="宋体" w:hAnsi="宋体" w:cs="宋体"/>
          <w:snapToGrid w:val="0"/>
          <w:color w:val="auto"/>
          <w:kern w:val="0"/>
          <w:sz w:val="24"/>
          <w:szCs w:val="24"/>
          <w:highlight w:val="none"/>
        </w:rPr>
        <w:t>招标代理：</w:t>
      </w:r>
      <w:r>
        <w:rPr>
          <w:rFonts w:hint="eastAsia" w:ascii="宋体" w:hAnsi="宋体" w:cs="宋体"/>
          <w:snapToGrid w:val="0"/>
          <w:color w:val="auto"/>
          <w:kern w:val="0"/>
          <w:sz w:val="24"/>
          <w:szCs w:val="24"/>
          <w:highlight w:val="none"/>
          <w:u w:val="single"/>
        </w:rPr>
        <w:t>中冠管理咨询有限公司</w:t>
      </w:r>
    </w:p>
    <w:p w14:paraId="2801FB54">
      <w:pPr>
        <w:pStyle w:val="8"/>
        <w:tabs>
          <w:tab w:val="left" w:pos="4228"/>
          <w:tab w:val="left" w:pos="7990"/>
        </w:tabs>
        <w:snapToGrid w:val="0"/>
        <w:spacing w:after="0" w:line="360" w:lineRule="auto"/>
        <w:ind w:right="865" w:firstLine="420"/>
        <w:rPr>
          <w:rFonts w:ascii="宋体" w:hAnsi="宋体" w:cs="宋体"/>
          <w:snapToGrid w:val="0"/>
          <w:color w:val="auto"/>
          <w:kern w:val="0"/>
          <w:sz w:val="24"/>
          <w:szCs w:val="24"/>
          <w:highlight w:val="none"/>
          <w:u w:val="single"/>
        </w:rPr>
      </w:pPr>
      <w:r>
        <w:rPr>
          <w:rFonts w:hint="eastAsia" w:ascii="宋体" w:hAnsi="宋体" w:cs="宋体"/>
          <w:snapToGrid w:val="0"/>
          <w:color w:val="auto"/>
          <w:kern w:val="0"/>
          <w:sz w:val="24"/>
          <w:szCs w:val="24"/>
          <w:highlight w:val="none"/>
        </w:rPr>
        <w:t>地    址：</w:t>
      </w:r>
      <w:r>
        <w:rPr>
          <w:rFonts w:hint="eastAsia" w:ascii="宋体" w:hAnsi="宋体" w:cs="宋体"/>
          <w:snapToGrid w:val="0"/>
          <w:color w:val="auto"/>
          <w:sz w:val="24"/>
          <w:szCs w:val="24"/>
          <w:highlight w:val="none"/>
          <w:u w:val="single"/>
        </w:rPr>
        <w:t>杭州市钱塘区义蓬街道义蓬路114号农商银行3楼</w:t>
      </w:r>
    </w:p>
    <w:p w14:paraId="6F139829">
      <w:pPr>
        <w:pStyle w:val="8"/>
        <w:tabs>
          <w:tab w:val="left" w:pos="4228"/>
          <w:tab w:val="left" w:pos="7990"/>
        </w:tabs>
        <w:snapToGrid w:val="0"/>
        <w:spacing w:after="0" w:line="360" w:lineRule="auto"/>
        <w:ind w:right="865" w:firstLine="420"/>
        <w:rPr>
          <w:rFonts w:ascii="宋体" w:hAnsi="宋体" w:cs="宋体"/>
          <w:snapToGrid w:val="0"/>
          <w:color w:val="auto"/>
          <w:kern w:val="0"/>
          <w:sz w:val="24"/>
          <w:szCs w:val="24"/>
          <w:highlight w:val="none"/>
          <w:u w:val="single"/>
        </w:rPr>
      </w:pPr>
      <w:r>
        <w:rPr>
          <w:rFonts w:hint="eastAsia" w:ascii="宋体" w:hAnsi="宋体" w:cs="宋体"/>
          <w:snapToGrid w:val="0"/>
          <w:color w:val="auto"/>
          <w:kern w:val="0"/>
          <w:sz w:val="24"/>
          <w:szCs w:val="24"/>
          <w:highlight w:val="none"/>
        </w:rPr>
        <w:t>联 系 人：</w:t>
      </w:r>
      <w:r>
        <w:rPr>
          <w:rFonts w:hint="eastAsia" w:ascii="宋体" w:hAnsi="宋体" w:cs="宋体"/>
          <w:snapToGrid w:val="0"/>
          <w:color w:val="auto"/>
          <w:kern w:val="0"/>
          <w:sz w:val="24"/>
          <w:szCs w:val="24"/>
          <w:highlight w:val="none"/>
          <w:u w:val="single"/>
        </w:rPr>
        <w:t>周咪咪</w:t>
      </w:r>
    </w:p>
    <w:p w14:paraId="5DC14425">
      <w:pPr>
        <w:pStyle w:val="8"/>
        <w:tabs>
          <w:tab w:val="left" w:pos="4228"/>
          <w:tab w:val="left" w:pos="7990"/>
        </w:tabs>
        <w:snapToGrid w:val="0"/>
        <w:spacing w:after="0" w:line="360" w:lineRule="auto"/>
        <w:ind w:right="865" w:firstLine="420"/>
        <w:rPr>
          <w:rFonts w:ascii="宋体" w:hAnsi="宋体" w:cs="宋体"/>
          <w:snapToGrid w:val="0"/>
          <w:color w:val="auto"/>
          <w:kern w:val="0"/>
          <w:sz w:val="24"/>
          <w:szCs w:val="24"/>
          <w:highlight w:val="none"/>
          <w:u w:val="single"/>
        </w:rPr>
      </w:pPr>
      <w:r>
        <w:rPr>
          <w:rFonts w:hint="eastAsia" w:ascii="宋体" w:hAnsi="宋体" w:cs="宋体"/>
          <w:snapToGrid w:val="0"/>
          <w:color w:val="auto"/>
          <w:kern w:val="0"/>
          <w:sz w:val="24"/>
          <w:szCs w:val="24"/>
          <w:highlight w:val="none"/>
        </w:rPr>
        <w:t>电    话：</w:t>
      </w:r>
      <w:r>
        <w:rPr>
          <w:rFonts w:hint="eastAsia" w:ascii="宋体" w:hAnsi="宋体" w:cs="宋体"/>
          <w:snapToGrid w:val="0"/>
          <w:color w:val="auto"/>
          <w:kern w:val="0"/>
          <w:sz w:val="24"/>
          <w:szCs w:val="24"/>
          <w:highlight w:val="none"/>
          <w:u w:val="single"/>
        </w:rPr>
        <w:t>13735862673</w:t>
      </w:r>
    </w:p>
    <w:p w14:paraId="5A6024F8">
      <w:pPr>
        <w:pStyle w:val="8"/>
        <w:tabs>
          <w:tab w:val="left" w:pos="4228"/>
          <w:tab w:val="left" w:pos="7990"/>
        </w:tabs>
        <w:snapToGrid w:val="0"/>
        <w:spacing w:after="0" w:line="360" w:lineRule="auto"/>
        <w:ind w:right="865" w:firstLine="420"/>
        <w:rPr>
          <w:rFonts w:ascii="宋体" w:hAnsi="宋体" w:cs="宋体"/>
          <w:snapToGrid w:val="0"/>
          <w:color w:val="auto"/>
          <w:kern w:val="0"/>
          <w:sz w:val="24"/>
          <w:szCs w:val="24"/>
          <w:highlight w:val="none"/>
          <w:u w:val="single"/>
        </w:rPr>
      </w:pPr>
      <w:r>
        <w:rPr>
          <w:rFonts w:hint="eastAsia" w:ascii="宋体" w:hAnsi="宋体" w:cs="宋体"/>
          <w:snapToGrid w:val="0"/>
          <w:color w:val="auto"/>
          <w:kern w:val="0"/>
          <w:sz w:val="24"/>
          <w:szCs w:val="24"/>
          <w:highlight w:val="none"/>
        </w:rPr>
        <w:t>电子邮件：</w:t>
      </w:r>
      <w:r>
        <w:rPr>
          <w:rFonts w:hint="eastAsia" w:ascii="宋体" w:hAnsi="宋体" w:cs="宋体"/>
          <w:snapToGrid w:val="0"/>
          <w:color w:val="auto"/>
          <w:kern w:val="0"/>
          <w:sz w:val="24"/>
          <w:szCs w:val="24"/>
          <w:highlight w:val="none"/>
          <w:u w:val="single"/>
        </w:rPr>
        <w:t>925112307@qq.com</w:t>
      </w:r>
    </w:p>
    <w:p w14:paraId="35771CA7">
      <w:pPr>
        <w:pStyle w:val="33"/>
        <w:spacing w:line="360" w:lineRule="auto"/>
        <w:outlineLvl w:val="9"/>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u w:val="single"/>
        </w:rPr>
        <w:t>2024</w:t>
      </w:r>
      <w:r>
        <w:rPr>
          <w:rFonts w:hint="eastAsia" w:ascii="宋体" w:hAnsi="宋体" w:cs="宋体"/>
          <w:snapToGrid w:val="0"/>
          <w:color w:val="auto"/>
          <w:kern w:val="0"/>
          <w:sz w:val="24"/>
          <w:szCs w:val="24"/>
          <w:highlight w:val="none"/>
          <w:lang w:bidi="ar"/>
        </w:rPr>
        <w:t>年</w:t>
      </w:r>
      <w:r>
        <w:rPr>
          <w:rFonts w:hint="eastAsia" w:ascii="宋体" w:hAnsi="宋体" w:cs="宋体"/>
          <w:snapToGrid w:val="0"/>
          <w:color w:val="auto"/>
          <w:kern w:val="0"/>
          <w:sz w:val="24"/>
          <w:szCs w:val="24"/>
          <w:highlight w:val="none"/>
          <w:u w:val="single"/>
          <w:lang w:val="en-US" w:eastAsia="zh-CN" w:bidi="ar"/>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22</w:t>
      </w:r>
      <w:r>
        <w:rPr>
          <w:rFonts w:hint="eastAsia" w:ascii="宋体" w:hAnsi="宋体" w:cs="宋体"/>
          <w:color w:val="auto"/>
          <w:sz w:val="24"/>
          <w:szCs w:val="24"/>
          <w:highlight w:val="none"/>
        </w:rPr>
        <w:t>日</w:t>
      </w:r>
    </w:p>
    <w:p w14:paraId="35931559">
      <w:pPr>
        <w:widowControl/>
        <w:spacing w:line="440" w:lineRule="exact"/>
        <w:jc w:val="center"/>
        <w:rPr>
          <w:rFonts w:ascii="宋体" w:hAnsi="宋体" w:eastAsia="宋体" w:cs="宋体"/>
          <w:b/>
          <w:bCs/>
          <w:color w:val="auto"/>
          <w:kern w:val="0"/>
          <w:szCs w:val="32"/>
          <w:highlight w:val="none"/>
        </w:rPr>
      </w:pPr>
    </w:p>
    <w:p w14:paraId="66A6D9A3">
      <w:pPr>
        <w:widowControl/>
        <w:spacing w:line="440" w:lineRule="exact"/>
        <w:rPr>
          <w:rFonts w:ascii="宋体" w:hAnsi="宋体" w:eastAsia="宋体" w:cs="宋体"/>
          <w:b/>
          <w:bCs/>
          <w:color w:val="auto"/>
          <w:kern w:val="0"/>
          <w:szCs w:val="32"/>
          <w:highlight w:val="none"/>
        </w:rPr>
      </w:pPr>
    </w:p>
    <w:p w14:paraId="29F8280B">
      <w:pPr>
        <w:widowControl/>
        <w:jc w:val="left"/>
        <w:rPr>
          <w:rFonts w:ascii="宋体" w:hAnsi="宋体" w:eastAsia="宋体" w:cs="宋体"/>
          <w:b/>
          <w:bCs/>
          <w:color w:val="auto"/>
          <w:kern w:val="0"/>
          <w:szCs w:val="32"/>
          <w:highlight w:val="none"/>
        </w:rPr>
      </w:pPr>
      <w:r>
        <w:rPr>
          <w:rFonts w:hint="eastAsia" w:ascii="宋体" w:hAnsi="宋体" w:eastAsia="宋体" w:cs="宋体"/>
          <w:b/>
          <w:bCs/>
          <w:color w:val="auto"/>
          <w:kern w:val="0"/>
          <w:szCs w:val="32"/>
          <w:highlight w:val="none"/>
        </w:rPr>
        <w:br w:type="page"/>
      </w:r>
    </w:p>
    <w:p w14:paraId="30250211">
      <w:pPr>
        <w:widowControl/>
        <w:spacing w:line="440" w:lineRule="exact"/>
        <w:jc w:val="center"/>
        <w:outlineLvl w:val="0"/>
        <w:rPr>
          <w:rFonts w:ascii="宋体" w:hAnsi="宋体" w:eastAsia="宋体" w:cs="宋体"/>
          <w:b/>
          <w:bCs/>
          <w:color w:val="auto"/>
          <w:kern w:val="0"/>
          <w:szCs w:val="32"/>
          <w:highlight w:val="none"/>
        </w:rPr>
      </w:pPr>
      <w:r>
        <w:rPr>
          <w:rFonts w:hint="eastAsia" w:ascii="宋体" w:hAnsi="宋体" w:eastAsia="宋体" w:cs="宋体"/>
          <w:color w:val="auto"/>
          <w:kern w:val="0"/>
          <w:szCs w:val="32"/>
          <w:highlight w:val="none"/>
        </w:rPr>
        <w:t>第二章 投标人须知</w:t>
      </w:r>
    </w:p>
    <w:p w14:paraId="16CD1860">
      <w:pPr>
        <w:widowControl/>
        <w:spacing w:line="440" w:lineRule="exact"/>
        <w:ind w:firstLine="3373" w:firstLineChars="1400"/>
        <w:outlineLvl w:val="1"/>
        <w:rPr>
          <w:rFonts w:ascii="宋体" w:hAnsi="宋体" w:eastAsia="宋体" w:cs="宋体"/>
          <w:b/>
          <w:color w:val="auto"/>
          <w:sz w:val="24"/>
          <w:highlight w:val="none"/>
        </w:rPr>
      </w:pPr>
      <w:r>
        <w:rPr>
          <w:rFonts w:hint="eastAsia" w:ascii="宋体" w:hAnsi="宋体" w:eastAsia="宋体" w:cs="宋体"/>
          <w:b/>
          <w:bCs/>
          <w:color w:val="auto"/>
          <w:kern w:val="0"/>
          <w:sz w:val="24"/>
          <w:highlight w:val="none"/>
        </w:rPr>
        <w:t>投标人须知</w:t>
      </w:r>
      <w:r>
        <w:rPr>
          <w:rFonts w:hint="eastAsia" w:ascii="宋体" w:hAnsi="宋体" w:eastAsia="宋体" w:cs="宋体"/>
          <w:b/>
          <w:color w:val="auto"/>
          <w:sz w:val="24"/>
          <w:highlight w:val="none"/>
        </w:rPr>
        <w:t>前附表</w:t>
      </w:r>
    </w:p>
    <w:tbl>
      <w:tblPr>
        <w:tblStyle w:val="25"/>
        <w:tblW w:w="91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911"/>
        <w:gridCol w:w="6255"/>
      </w:tblGrid>
      <w:tr w14:paraId="04173E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02" w:type="dxa"/>
            <w:tcBorders>
              <w:top w:val="single" w:color="auto" w:sz="12" w:space="0"/>
            </w:tcBorders>
            <w:vAlign w:val="center"/>
          </w:tcPr>
          <w:p w14:paraId="552CD851">
            <w:pPr>
              <w:autoSpaceDE w:val="0"/>
              <w:autoSpaceDN w:val="0"/>
              <w:adjustRightInd w:val="0"/>
              <w:snapToGrid w:val="0"/>
              <w:spacing w:line="400" w:lineRule="exact"/>
              <w:jc w:val="center"/>
              <w:rPr>
                <w:rFonts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条款号</w:t>
            </w:r>
          </w:p>
        </w:tc>
        <w:tc>
          <w:tcPr>
            <w:tcW w:w="1911" w:type="dxa"/>
            <w:tcBorders>
              <w:top w:val="single" w:color="auto" w:sz="12" w:space="0"/>
            </w:tcBorders>
            <w:vAlign w:val="center"/>
          </w:tcPr>
          <w:p w14:paraId="3473732B">
            <w:pPr>
              <w:autoSpaceDE w:val="0"/>
              <w:autoSpaceDN w:val="0"/>
              <w:adjustRightInd w:val="0"/>
              <w:snapToGrid w:val="0"/>
              <w:spacing w:line="400" w:lineRule="exact"/>
              <w:jc w:val="center"/>
              <w:rPr>
                <w:rFonts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条 款 名 称</w:t>
            </w:r>
          </w:p>
        </w:tc>
        <w:tc>
          <w:tcPr>
            <w:tcW w:w="6255" w:type="dxa"/>
            <w:tcBorders>
              <w:top w:val="single" w:color="auto" w:sz="12" w:space="0"/>
            </w:tcBorders>
            <w:vAlign w:val="center"/>
          </w:tcPr>
          <w:p w14:paraId="4C1606FF">
            <w:pPr>
              <w:autoSpaceDE w:val="0"/>
              <w:autoSpaceDN w:val="0"/>
              <w:adjustRightInd w:val="0"/>
              <w:snapToGrid w:val="0"/>
              <w:spacing w:line="400" w:lineRule="exact"/>
              <w:jc w:val="center"/>
              <w:rPr>
                <w:rFonts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编 列 内 容</w:t>
            </w:r>
          </w:p>
        </w:tc>
      </w:tr>
      <w:tr w14:paraId="406FB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ABEE041">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1.1.2</w:t>
            </w:r>
          </w:p>
        </w:tc>
        <w:tc>
          <w:tcPr>
            <w:tcW w:w="1911" w:type="dxa"/>
            <w:vAlign w:val="center"/>
          </w:tcPr>
          <w:p w14:paraId="57ADD8E1">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招标组织形式</w:t>
            </w:r>
          </w:p>
        </w:tc>
        <w:tc>
          <w:tcPr>
            <w:tcW w:w="6255" w:type="dxa"/>
            <w:vAlign w:val="center"/>
          </w:tcPr>
          <w:p w14:paraId="43662394">
            <w:pPr>
              <w:pStyle w:val="46"/>
              <w:snapToGrid w:val="0"/>
              <w:spacing w:line="400" w:lineRule="exact"/>
              <w:ind w:right="64" w:rightChars="20"/>
              <w:jc w:val="both"/>
              <w:rPr>
                <w:snapToGrid w:val="0"/>
                <w:color w:val="auto"/>
                <w:sz w:val="24"/>
                <w:szCs w:val="24"/>
                <w:highlight w:val="none"/>
                <w:lang w:eastAsia="zh-CN"/>
              </w:rPr>
            </w:pPr>
            <w:r>
              <w:rPr>
                <w:rFonts w:hint="eastAsia"/>
                <w:color w:val="auto"/>
                <w:sz w:val="24"/>
                <w:szCs w:val="24"/>
                <w:highlight w:val="none"/>
                <w:lang w:val="zh-CN" w:eastAsia="zh-CN"/>
              </w:rPr>
              <w:t>本项目采用</w:t>
            </w:r>
            <w:r>
              <w:rPr>
                <w:rFonts w:hint="eastAsia"/>
                <w:color w:val="auto"/>
                <w:kern w:val="2"/>
                <w:sz w:val="24"/>
                <w:szCs w:val="24"/>
                <w:highlight w:val="none"/>
                <w:lang w:eastAsia="zh-CN"/>
              </w:rPr>
              <w:t xml:space="preserve"> </w:t>
            </w:r>
            <w:r>
              <w:rPr>
                <w:rFonts w:hint="eastAsia"/>
                <w:snapToGrid w:val="0"/>
                <w:color w:val="auto"/>
                <w:sz w:val="24"/>
                <w:szCs w:val="24"/>
                <w:highlight w:val="none"/>
                <w:lang w:eastAsia="zh-CN"/>
              </w:rPr>
              <w:sym w:font="Wingdings 2" w:char="0052"/>
            </w:r>
            <w:r>
              <w:rPr>
                <w:rFonts w:hint="eastAsia"/>
                <w:snapToGrid w:val="0"/>
                <w:color w:val="auto"/>
                <w:sz w:val="24"/>
                <w:szCs w:val="24"/>
                <w:highlight w:val="none"/>
                <w:lang w:eastAsia="zh-CN"/>
              </w:rPr>
              <w:t xml:space="preserve"> </w:t>
            </w:r>
            <w:r>
              <w:rPr>
                <w:rFonts w:hint="eastAsia"/>
                <w:color w:val="auto"/>
                <w:sz w:val="24"/>
                <w:szCs w:val="24"/>
                <w:highlight w:val="none"/>
                <w:u w:val="single"/>
                <w:lang w:val="zh-CN" w:eastAsia="zh-CN"/>
              </w:rPr>
              <w:t>委托招标</w:t>
            </w:r>
            <w:r>
              <w:rPr>
                <w:rFonts w:hint="eastAsia"/>
                <w:color w:val="auto"/>
                <w:sz w:val="24"/>
                <w:szCs w:val="24"/>
                <w:highlight w:val="none"/>
                <w:lang w:eastAsia="zh-CN"/>
              </w:rPr>
              <w:t>方式。</w:t>
            </w:r>
          </w:p>
        </w:tc>
      </w:tr>
      <w:tr w14:paraId="53EB0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8E1DE24">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1.1.3</w:t>
            </w:r>
          </w:p>
        </w:tc>
        <w:tc>
          <w:tcPr>
            <w:tcW w:w="1911" w:type="dxa"/>
            <w:vAlign w:val="center"/>
          </w:tcPr>
          <w:p w14:paraId="2C13C1DA">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招标人</w:t>
            </w:r>
          </w:p>
        </w:tc>
        <w:tc>
          <w:tcPr>
            <w:tcW w:w="6255" w:type="dxa"/>
            <w:vAlign w:val="center"/>
          </w:tcPr>
          <w:p w14:paraId="0D009992">
            <w:pPr>
              <w:pStyle w:val="46"/>
              <w:snapToGrid w:val="0"/>
              <w:spacing w:line="360" w:lineRule="auto"/>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名    称：</w:t>
            </w:r>
            <w:r>
              <w:rPr>
                <w:rFonts w:hint="eastAsia"/>
                <w:snapToGrid w:val="0"/>
                <w:color w:val="auto"/>
                <w:sz w:val="24"/>
                <w:szCs w:val="24"/>
                <w:highlight w:val="none"/>
                <w:u w:val="single"/>
                <w:lang w:eastAsia="zh-CN"/>
              </w:rPr>
              <w:t>杭州天子岭发电有限公司</w:t>
            </w:r>
          </w:p>
          <w:p w14:paraId="6B10338E">
            <w:pPr>
              <w:pStyle w:val="46"/>
              <w:snapToGrid w:val="0"/>
              <w:spacing w:line="360" w:lineRule="auto"/>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地    址：</w:t>
            </w:r>
            <w:r>
              <w:rPr>
                <w:rFonts w:hint="eastAsia"/>
                <w:snapToGrid w:val="0"/>
                <w:color w:val="auto"/>
                <w:sz w:val="24"/>
                <w:szCs w:val="24"/>
                <w:highlight w:val="none"/>
                <w:u w:val="single"/>
                <w:lang w:eastAsia="zh-CN"/>
              </w:rPr>
              <w:t>浙江省杭州市拱墅区临半路138-1号</w:t>
            </w:r>
          </w:p>
          <w:p w14:paraId="6796AD4B">
            <w:pPr>
              <w:pStyle w:val="46"/>
              <w:snapToGrid w:val="0"/>
              <w:spacing w:line="360" w:lineRule="auto"/>
              <w:ind w:right="64" w:rightChars="20"/>
              <w:jc w:val="both"/>
              <w:rPr>
                <w:snapToGrid w:val="0"/>
                <w:color w:val="auto"/>
                <w:sz w:val="24"/>
                <w:szCs w:val="24"/>
                <w:highlight w:val="none"/>
                <w:lang w:val="zh-CN" w:eastAsia="zh-CN"/>
              </w:rPr>
            </w:pPr>
            <w:r>
              <w:rPr>
                <w:rFonts w:hint="eastAsia"/>
                <w:snapToGrid w:val="0"/>
                <w:color w:val="auto"/>
                <w:sz w:val="24"/>
                <w:szCs w:val="24"/>
                <w:highlight w:val="none"/>
                <w:lang w:val="zh-CN" w:eastAsia="zh-CN"/>
              </w:rPr>
              <w:t>联 系 人：</w:t>
            </w:r>
            <w:r>
              <w:rPr>
                <w:rFonts w:hint="eastAsia"/>
                <w:snapToGrid w:val="0"/>
                <w:color w:val="auto"/>
                <w:sz w:val="24"/>
                <w:szCs w:val="24"/>
                <w:highlight w:val="none"/>
                <w:u w:val="single"/>
                <w:lang w:eastAsia="zh-CN"/>
              </w:rPr>
              <w:t>何工</w:t>
            </w:r>
          </w:p>
          <w:p w14:paraId="1A8306DE">
            <w:pPr>
              <w:pStyle w:val="46"/>
              <w:snapToGrid w:val="0"/>
              <w:spacing w:line="360" w:lineRule="auto"/>
              <w:ind w:right="64" w:rightChars="20"/>
              <w:jc w:val="both"/>
              <w:rPr>
                <w:snapToGrid w:val="0"/>
                <w:color w:val="auto"/>
                <w:sz w:val="24"/>
                <w:szCs w:val="24"/>
                <w:highlight w:val="none"/>
                <w:u w:val="single"/>
                <w:lang w:val="zh-CN" w:eastAsia="zh-CN"/>
              </w:rPr>
            </w:pPr>
            <w:r>
              <w:rPr>
                <w:rFonts w:hint="eastAsia"/>
                <w:snapToGrid w:val="0"/>
                <w:color w:val="auto"/>
                <w:sz w:val="24"/>
                <w:szCs w:val="24"/>
                <w:highlight w:val="none"/>
                <w:lang w:val="zh-CN" w:eastAsia="zh-CN"/>
              </w:rPr>
              <w:t>联系电话：</w:t>
            </w:r>
            <w:r>
              <w:rPr>
                <w:rFonts w:hint="eastAsia"/>
                <w:snapToGrid w:val="0"/>
                <w:color w:val="auto"/>
                <w:sz w:val="24"/>
                <w:szCs w:val="24"/>
                <w:highlight w:val="none"/>
                <w:u w:val="single"/>
                <w:lang w:val="zh-CN" w:eastAsia="zh-CN"/>
              </w:rPr>
              <w:t>15168344626</w:t>
            </w:r>
          </w:p>
          <w:p w14:paraId="2FAB265A">
            <w:pPr>
              <w:pStyle w:val="46"/>
              <w:snapToGrid w:val="0"/>
              <w:spacing w:line="360" w:lineRule="auto"/>
              <w:ind w:right="64" w:rightChars="20"/>
              <w:jc w:val="both"/>
              <w:rPr>
                <w:snapToGrid w:val="0"/>
                <w:color w:val="auto"/>
                <w:sz w:val="24"/>
                <w:szCs w:val="24"/>
                <w:highlight w:val="none"/>
                <w:u w:val="single"/>
                <w:lang w:eastAsia="zh-CN"/>
              </w:rPr>
            </w:pPr>
            <w:r>
              <w:rPr>
                <w:rFonts w:hint="eastAsia"/>
                <w:snapToGrid w:val="0"/>
                <w:color w:val="auto"/>
                <w:sz w:val="24"/>
                <w:szCs w:val="24"/>
                <w:highlight w:val="none"/>
                <w:lang w:eastAsia="zh-CN"/>
              </w:rPr>
              <w:t>电子邮箱：</w:t>
            </w:r>
            <w:r>
              <w:rPr>
                <w:rFonts w:hint="eastAsia"/>
                <w:snapToGrid w:val="0"/>
                <w:color w:val="auto"/>
                <w:sz w:val="24"/>
                <w:szCs w:val="24"/>
                <w:highlight w:val="none"/>
                <w:u w:val="single"/>
                <w:lang w:eastAsia="zh-CN"/>
              </w:rPr>
              <w:t>674270530@qq.com</w:t>
            </w:r>
          </w:p>
        </w:tc>
      </w:tr>
      <w:tr w14:paraId="294D72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002" w:type="dxa"/>
            <w:vAlign w:val="center"/>
          </w:tcPr>
          <w:p w14:paraId="7B0E59AB">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1.1.5</w:t>
            </w:r>
          </w:p>
        </w:tc>
        <w:tc>
          <w:tcPr>
            <w:tcW w:w="1911" w:type="dxa"/>
            <w:vAlign w:val="center"/>
          </w:tcPr>
          <w:p w14:paraId="7092EAD5">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招标代理机构</w:t>
            </w:r>
          </w:p>
        </w:tc>
        <w:tc>
          <w:tcPr>
            <w:tcW w:w="6255" w:type="dxa"/>
            <w:vAlign w:val="center"/>
          </w:tcPr>
          <w:p w14:paraId="4F47D501">
            <w:pPr>
              <w:autoSpaceDE w:val="0"/>
              <w:autoSpaceDN w:val="0"/>
              <w:adjustRightInd w:val="0"/>
              <w:snapToGrid w:val="0"/>
              <w:spacing w:line="360" w:lineRule="auto"/>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名    称：</w:t>
            </w:r>
            <w:r>
              <w:rPr>
                <w:rFonts w:hint="eastAsia" w:ascii="宋体" w:hAnsi="宋体" w:eastAsia="宋体" w:cs="宋体"/>
                <w:snapToGrid w:val="0"/>
                <w:color w:val="auto"/>
                <w:kern w:val="0"/>
                <w:sz w:val="24"/>
                <w:highlight w:val="none"/>
                <w:u w:val="single"/>
              </w:rPr>
              <w:t>中冠管理咨询有限公司</w:t>
            </w:r>
          </w:p>
          <w:p w14:paraId="11C3694C">
            <w:pPr>
              <w:autoSpaceDE w:val="0"/>
              <w:autoSpaceDN w:val="0"/>
              <w:adjustRightInd w:val="0"/>
              <w:snapToGrid w:val="0"/>
              <w:spacing w:line="360" w:lineRule="auto"/>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地    址：</w:t>
            </w:r>
            <w:r>
              <w:rPr>
                <w:rFonts w:hint="eastAsia" w:ascii="宋体" w:hAnsi="宋体" w:eastAsia="宋体" w:cs="宋体"/>
                <w:snapToGrid w:val="0"/>
                <w:color w:val="auto"/>
                <w:sz w:val="24"/>
                <w:highlight w:val="none"/>
                <w:u w:val="single"/>
              </w:rPr>
              <w:t>杭州市钱塘区义蓬街道义蓬路114号农商银行3楼</w:t>
            </w:r>
          </w:p>
          <w:p w14:paraId="10AB4B99">
            <w:pPr>
              <w:autoSpaceDE w:val="0"/>
              <w:autoSpaceDN w:val="0"/>
              <w:adjustRightInd w:val="0"/>
              <w:snapToGrid w:val="0"/>
              <w:spacing w:line="360" w:lineRule="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 系 人：</w:t>
            </w:r>
            <w:r>
              <w:rPr>
                <w:rFonts w:hint="eastAsia" w:ascii="宋体" w:hAnsi="宋体" w:eastAsia="宋体" w:cs="宋体"/>
                <w:snapToGrid w:val="0"/>
                <w:color w:val="auto"/>
                <w:kern w:val="0"/>
                <w:sz w:val="24"/>
                <w:highlight w:val="none"/>
                <w:u w:val="single"/>
              </w:rPr>
              <w:t>周咪咪</w:t>
            </w:r>
          </w:p>
          <w:p w14:paraId="167FEEE5">
            <w:pPr>
              <w:pStyle w:val="46"/>
              <w:snapToGrid w:val="0"/>
              <w:spacing w:line="360" w:lineRule="auto"/>
              <w:ind w:right="64" w:rightChars="20"/>
              <w:jc w:val="both"/>
              <w:rPr>
                <w:snapToGrid w:val="0"/>
                <w:color w:val="auto"/>
                <w:sz w:val="24"/>
                <w:szCs w:val="24"/>
                <w:highlight w:val="none"/>
                <w:lang w:eastAsia="zh-CN"/>
              </w:rPr>
            </w:pPr>
            <w:r>
              <w:rPr>
                <w:rFonts w:hint="eastAsia"/>
                <w:color w:val="auto"/>
                <w:sz w:val="24"/>
                <w:szCs w:val="24"/>
                <w:highlight w:val="none"/>
                <w:lang w:val="zh-CN" w:eastAsia="zh-CN"/>
              </w:rPr>
              <w:t>联系电话：</w:t>
            </w:r>
            <w:r>
              <w:rPr>
                <w:rFonts w:hint="eastAsia"/>
                <w:snapToGrid w:val="0"/>
                <w:color w:val="auto"/>
                <w:sz w:val="24"/>
                <w:szCs w:val="24"/>
                <w:highlight w:val="none"/>
                <w:u w:val="single"/>
                <w:lang w:eastAsia="zh-CN"/>
              </w:rPr>
              <w:t>13735862673</w:t>
            </w:r>
          </w:p>
          <w:p w14:paraId="44FC9784">
            <w:pPr>
              <w:pStyle w:val="46"/>
              <w:snapToGrid w:val="0"/>
              <w:spacing w:line="360" w:lineRule="auto"/>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邮    箱：</w:t>
            </w:r>
            <w:r>
              <w:rPr>
                <w:rFonts w:hint="eastAsia"/>
                <w:snapToGrid w:val="0"/>
                <w:color w:val="auto"/>
                <w:sz w:val="24"/>
                <w:szCs w:val="24"/>
                <w:highlight w:val="none"/>
                <w:u w:val="single"/>
                <w:lang w:eastAsia="zh-CN"/>
              </w:rPr>
              <w:t>925112307</w:t>
            </w:r>
            <w:r>
              <w:rPr>
                <w:rFonts w:hint="eastAsia"/>
                <w:snapToGrid w:val="0"/>
                <w:color w:val="auto"/>
                <w:sz w:val="24"/>
                <w:szCs w:val="24"/>
                <w:highlight w:val="none"/>
                <w:u w:val="single"/>
              </w:rPr>
              <w:t>@</w:t>
            </w:r>
            <w:r>
              <w:rPr>
                <w:rFonts w:hint="eastAsia"/>
                <w:snapToGrid w:val="0"/>
                <w:color w:val="auto"/>
                <w:sz w:val="24"/>
                <w:szCs w:val="24"/>
                <w:highlight w:val="none"/>
                <w:u w:val="single"/>
                <w:lang w:eastAsia="zh-CN"/>
              </w:rPr>
              <w:t>qq.com</w:t>
            </w:r>
          </w:p>
        </w:tc>
      </w:tr>
      <w:tr w14:paraId="5762C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B1B5C0B">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1.1.6</w:t>
            </w:r>
          </w:p>
        </w:tc>
        <w:tc>
          <w:tcPr>
            <w:tcW w:w="1911" w:type="dxa"/>
            <w:vAlign w:val="center"/>
          </w:tcPr>
          <w:p w14:paraId="03A6D702">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项目概况</w:t>
            </w:r>
          </w:p>
        </w:tc>
        <w:tc>
          <w:tcPr>
            <w:tcW w:w="6255" w:type="dxa"/>
            <w:vAlign w:val="center"/>
          </w:tcPr>
          <w:p w14:paraId="3293265E">
            <w:pPr>
              <w:pStyle w:val="21"/>
              <w:adjustRightInd w:val="0"/>
              <w:snapToGrid w:val="0"/>
              <w:spacing w:before="0" w:beforeAutospacing="0" w:after="0" w:afterAutospacing="0" w:line="380" w:lineRule="exact"/>
              <w:rPr>
                <w:rFonts w:cs="宋体"/>
                <w:b/>
                <w:bCs/>
                <w:color w:val="auto"/>
                <w:highlight w:val="none"/>
              </w:rPr>
            </w:pPr>
            <w:r>
              <w:rPr>
                <w:rFonts w:hint="eastAsia" w:cs="宋体"/>
                <w:snapToGrid w:val="0"/>
                <w:color w:val="auto"/>
                <w:highlight w:val="none"/>
              </w:rPr>
              <w:t>招标编号：</w:t>
            </w:r>
            <w:r>
              <w:rPr>
                <w:rFonts w:hint="eastAsia" w:ascii="宋体" w:hAnsi="宋体" w:eastAsia="宋体" w:cs="宋体"/>
                <w:b/>
                <w:color w:val="auto"/>
                <w:sz w:val="24"/>
                <w:highlight w:val="none"/>
                <w:u w:val="single"/>
              </w:rPr>
              <w:t>NY-1FZB2411132</w:t>
            </w:r>
            <w:r>
              <w:rPr>
                <w:rFonts w:hint="eastAsia" w:cs="宋体"/>
                <w:snapToGrid w:val="0"/>
                <w:color w:val="auto"/>
                <w:highlight w:val="none"/>
              </w:rPr>
              <w:t>。</w:t>
            </w:r>
          </w:p>
          <w:p w14:paraId="5233B84B">
            <w:pPr>
              <w:pStyle w:val="46"/>
              <w:snapToGrid w:val="0"/>
              <w:spacing w:line="400" w:lineRule="exact"/>
              <w:ind w:right="64" w:rightChars="20"/>
              <w:jc w:val="both"/>
              <w:rPr>
                <w:color w:val="auto"/>
                <w:sz w:val="24"/>
                <w:szCs w:val="24"/>
                <w:highlight w:val="none"/>
                <w:lang w:eastAsia="zh-CN"/>
              </w:rPr>
            </w:pPr>
            <w:r>
              <w:rPr>
                <w:rFonts w:hint="eastAsia"/>
                <w:snapToGrid w:val="0"/>
                <w:color w:val="auto"/>
                <w:sz w:val="24"/>
                <w:szCs w:val="24"/>
                <w:highlight w:val="none"/>
                <w:lang w:eastAsia="zh-CN"/>
              </w:rPr>
              <w:t>项目名称：</w:t>
            </w:r>
            <w:r>
              <w:rPr>
                <w:rFonts w:hint="eastAsia"/>
                <w:snapToGrid w:val="0"/>
                <w:color w:val="auto"/>
                <w:sz w:val="24"/>
                <w:szCs w:val="24"/>
                <w:highlight w:val="none"/>
                <w:u w:val="single"/>
                <w:lang w:eastAsia="zh-CN"/>
              </w:rPr>
              <w:t>2025年污染源(废气)在线监测系统运维服务</w:t>
            </w:r>
            <w:r>
              <w:rPr>
                <w:rFonts w:hint="eastAsia"/>
                <w:snapToGrid w:val="0"/>
                <w:color w:val="auto"/>
                <w:sz w:val="24"/>
                <w:szCs w:val="24"/>
                <w:highlight w:val="none"/>
                <w:lang w:eastAsia="zh-CN"/>
              </w:rPr>
              <w:t>。</w:t>
            </w:r>
          </w:p>
          <w:p w14:paraId="2531EE6A">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项目地点：</w:t>
            </w:r>
            <w:r>
              <w:rPr>
                <w:rFonts w:hint="eastAsia"/>
                <w:snapToGrid w:val="0"/>
                <w:color w:val="auto"/>
                <w:sz w:val="24"/>
                <w:szCs w:val="24"/>
                <w:highlight w:val="none"/>
                <w:u w:val="single"/>
                <w:lang w:eastAsia="zh-CN"/>
              </w:rPr>
              <w:t>招标人指定地点</w:t>
            </w:r>
            <w:r>
              <w:rPr>
                <w:rFonts w:hint="eastAsia"/>
                <w:snapToGrid w:val="0"/>
                <w:color w:val="auto"/>
                <w:sz w:val="24"/>
                <w:szCs w:val="24"/>
                <w:highlight w:val="none"/>
                <w:lang w:eastAsia="zh-CN"/>
              </w:rPr>
              <w:t>。</w:t>
            </w:r>
          </w:p>
          <w:p w14:paraId="079411D5">
            <w:pPr>
              <w:pStyle w:val="46"/>
              <w:snapToGrid w:val="0"/>
              <w:spacing w:line="400" w:lineRule="exact"/>
              <w:ind w:right="64" w:rightChars="20"/>
              <w:jc w:val="both"/>
              <w:rPr>
                <w:color w:val="auto"/>
                <w:sz w:val="24"/>
                <w:szCs w:val="24"/>
                <w:highlight w:val="none"/>
                <w:u w:val="single"/>
                <w:lang w:eastAsia="zh-CN"/>
              </w:rPr>
            </w:pPr>
            <w:r>
              <w:rPr>
                <w:rFonts w:hint="eastAsia"/>
                <w:color w:val="auto"/>
                <w:sz w:val="24"/>
                <w:szCs w:val="24"/>
                <w:highlight w:val="none"/>
                <w:lang w:eastAsia="zh-CN"/>
              </w:rPr>
              <w:t>项目本期概算：</w:t>
            </w:r>
            <w:r>
              <w:rPr>
                <w:rFonts w:hint="eastAsia"/>
                <w:b/>
                <w:color w:val="auto"/>
                <w:sz w:val="24"/>
                <w:szCs w:val="24"/>
                <w:highlight w:val="none"/>
                <w:u w:val="single"/>
                <w:lang w:eastAsia="zh-CN"/>
              </w:rPr>
              <w:t>120万元（含税）</w:t>
            </w:r>
            <w:r>
              <w:rPr>
                <w:rFonts w:hint="eastAsia"/>
                <w:color w:val="auto"/>
                <w:sz w:val="24"/>
                <w:szCs w:val="24"/>
                <w:highlight w:val="none"/>
                <w:u w:val="single"/>
                <w:lang w:eastAsia="zh-CN"/>
              </w:rPr>
              <w:t>；</w:t>
            </w:r>
          </w:p>
          <w:p w14:paraId="567CCA21">
            <w:pPr>
              <w:pStyle w:val="46"/>
              <w:snapToGrid w:val="0"/>
              <w:spacing w:line="400" w:lineRule="exact"/>
              <w:ind w:right="64" w:rightChars="20"/>
              <w:jc w:val="both"/>
              <w:rPr>
                <w:color w:val="auto"/>
                <w:sz w:val="24"/>
                <w:szCs w:val="24"/>
                <w:highlight w:val="none"/>
                <w:u w:val="single"/>
                <w:lang w:eastAsia="zh-CN"/>
              </w:rPr>
            </w:pPr>
            <w:r>
              <w:rPr>
                <w:rFonts w:hint="eastAsia"/>
                <w:b/>
                <w:color w:val="auto"/>
                <w:sz w:val="24"/>
                <w:szCs w:val="24"/>
                <w:highlight w:val="none"/>
                <w:lang w:eastAsia="zh-CN"/>
              </w:rPr>
              <w:t>项目最高限价：</w:t>
            </w:r>
            <w:r>
              <w:rPr>
                <w:rFonts w:hint="eastAsia"/>
                <w:b/>
                <w:color w:val="auto"/>
                <w:sz w:val="24"/>
                <w:szCs w:val="24"/>
                <w:highlight w:val="none"/>
                <w:u w:val="single"/>
                <w:lang w:eastAsia="zh-CN"/>
              </w:rPr>
              <w:t>总价最高限价120万元；单价最高限价单价15万元/套/年，</w:t>
            </w:r>
            <w:r>
              <w:rPr>
                <w:rFonts w:hint="eastAsia"/>
                <w:b/>
                <w:bCs/>
                <w:snapToGrid w:val="0"/>
                <w:color w:val="auto"/>
                <w:kern w:val="2"/>
                <w:sz w:val="24"/>
                <w:szCs w:val="24"/>
                <w:highlight w:val="none"/>
                <w:u w:val="single"/>
                <w:lang w:val="zh-CN" w:eastAsia="zh-CN"/>
              </w:rPr>
              <w:t>投标人的投标报价超过总价限价</w:t>
            </w:r>
            <w:r>
              <w:rPr>
                <w:rFonts w:hint="eastAsia"/>
                <w:b/>
                <w:bCs/>
                <w:snapToGrid w:val="0"/>
                <w:color w:val="auto"/>
                <w:kern w:val="2"/>
                <w:sz w:val="24"/>
                <w:szCs w:val="24"/>
                <w:highlight w:val="none"/>
                <w:u w:val="single"/>
                <w:lang w:eastAsia="zh-CN"/>
              </w:rPr>
              <w:t>或</w:t>
            </w:r>
            <w:r>
              <w:rPr>
                <w:rFonts w:hint="eastAsia"/>
                <w:b/>
                <w:bCs/>
                <w:snapToGrid w:val="0"/>
                <w:color w:val="auto"/>
                <w:kern w:val="2"/>
                <w:sz w:val="24"/>
                <w:szCs w:val="24"/>
                <w:highlight w:val="none"/>
                <w:u w:val="single"/>
                <w:lang w:val="zh-CN" w:eastAsia="zh-CN"/>
              </w:rPr>
              <w:t>单价限价的，将作无效标处理</w:t>
            </w:r>
            <w:r>
              <w:rPr>
                <w:rFonts w:hint="eastAsia"/>
                <w:b/>
                <w:color w:val="auto"/>
                <w:sz w:val="24"/>
                <w:szCs w:val="24"/>
                <w:highlight w:val="none"/>
                <w:lang w:eastAsia="zh-CN"/>
              </w:rPr>
              <w:t>。</w:t>
            </w:r>
          </w:p>
          <w:p w14:paraId="0C634535">
            <w:pPr>
              <w:rPr>
                <w:rFonts w:ascii="宋体" w:hAnsi="宋体" w:eastAsia="宋体" w:cs="宋体"/>
                <w:snapToGrid w:val="0"/>
                <w:color w:val="auto"/>
                <w:sz w:val="24"/>
                <w:highlight w:val="none"/>
              </w:rPr>
            </w:pPr>
            <w:r>
              <w:rPr>
                <w:rFonts w:hint="eastAsia" w:ascii="宋体" w:hAnsi="宋体" w:eastAsia="宋体" w:cs="宋体"/>
                <w:color w:val="auto"/>
                <w:sz w:val="24"/>
                <w:highlight w:val="none"/>
              </w:rPr>
              <w:t>招标方式：</w:t>
            </w:r>
            <w:r>
              <w:rPr>
                <w:rFonts w:hint="eastAsia" w:ascii="宋体" w:hAnsi="宋体" w:eastAsia="宋体" w:cs="宋体"/>
                <w:color w:val="auto"/>
                <w:sz w:val="24"/>
                <w:highlight w:val="none"/>
                <w:u w:val="single"/>
              </w:rPr>
              <w:t>公开招标。</w:t>
            </w:r>
          </w:p>
        </w:tc>
      </w:tr>
      <w:tr w14:paraId="372CF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3861A38">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1.2.1</w:t>
            </w:r>
          </w:p>
        </w:tc>
        <w:tc>
          <w:tcPr>
            <w:tcW w:w="1911" w:type="dxa"/>
            <w:vAlign w:val="center"/>
          </w:tcPr>
          <w:p w14:paraId="4AA88001">
            <w:pPr>
              <w:pStyle w:val="46"/>
              <w:adjustRightInd w:val="0"/>
              <w:snapToGrid w:val="0"/>
              <w:spacing w:line="400" w:lineRule="exact"/>
              <w:jc w:val="center"/>
              <w:rPr>
                <w:snapToGrid w:val="0"/>
                <w:color w:val="auto"/>
                <w:sz w:val="24"/>
                <w:szCs w:val="24"/>
                <w:highlight w:val="none"/>
              </w:rPr>
            </w:pPr>
            <w:r>
              <w:rPr>
                <w:rFonts w:hint="eastAsia"/>
                <w:snapToGrid w:val="0"/>
                <w:color w:val="auto"/>
                <w:sz w:val="24"/>
                <w:szCs w:val="24"/>
                <w:highlight w:val="none"/>
              </w:rPr>
              <w:t>资金来源</w:t>
            </w:r>
          </w:p>
          <w:p w14:paraId="3D437FE7">
            <w:pPr>
              <w:pStyle w:val="46"/>
              <w:adjustRightInd w:val="0"/>
              <w:snapToGrid w:val="0"/>
              <w:spacing w:line="400" w:lineRule="exact"/>
              <w:jc w:val="center"/>
              <w:rPr>
                <w:snapToGrid w:val="0"/>
                <w:color w:val="auto"/>
                <w:sz w:val="24"/>
                <w:szCs w:val="24"/>
                <w:highlight w:val="none"/>
              </w:rPr>
            </w:pPr>
            <w:r>
              <w:rPr>
                <w:rFonts w:hint="eastAsia"/>
                <w:snapToGrid w:val="0"/>
                <w:color w:val="auto"/>
                <w:sz w:val="24"/>
                <w:szCs w:val="24"/>
                <w:highlight w:val="none"/>
              </w:rPr>
              <w:t>及</w:t>
            </w:r>
            <w:r>
              <w:rPr>
                <w:rFonts w:hint="eastAsia"/>
                <w:snapToGrid w:val="0"/>
                <w:color w:val="auto"/>
                <w:sz w:val="24"/>
                <w:szCs w:val="24"/>
                <w:highlight w:val="none"/>
                <w:lang w:eastAsia="zh-CN"/>
              </w:rPr>
              <w:t>落实情况</w:t>
            </w:r>
          </w:p>
        </w:tc>
        <w:tc>
          <w:tcPr>
            <w:tcW w:w="6255" w:type="dxa"/>
            <w:vAlign w:val="center"/>
          </w:tcPr>
          <w:p w14:paraId="618E9D14">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已落实，自筹</w:t>
            </w:r>
          </w:p>
        </w:tc>
      </w:tr>
      <w:tr w14:paraId="1E45C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52521BCE">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1.3.1</w:t>
            </w:r>
          </w:p>
        </w:tc>
        <w:tc>
          <w:tcPr>
            <w:tcW w:w="1911" w:type="dxa"/>
            <w:vAlign w:val="center"/>
          </w:tcPr>
          <w:p w14:paraId="330187AD">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rPr>
              <w:t>招标范围</w:t>
            </w:r>
            <w:r>
              <w:rPr>
                <w:rFonts w:hint="eastAsia"/>
                <w:snapToGrid w:val="0"/>
                <w:color w:val="auto"/>
                <w:sz w:val="24"/>
                <w:szCs w:val="24"/>
                <w:highlight w:val="none"/>
                <w:lang w:eastAsia="zh-CN"/>
              </w:rPr>
              <w:t>及内容</w:t>
            </w:r>
          </w:p>
        </w:tc>
        <w:tc>
          <w:tcPr>
            <w:tcW w:w="6255" w:type="dxa"/>
            <w:vAlign w:val="center"/>
          </w:tcPr>
          <w:p w14:paraId="5CBEC985">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见招标公告</w:t>
            </w:r>
          </w:p>
        </w:tc>
      </w:tr>
      <w:tr w14:paraId="6DEC6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76CB09FA">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rPr>
              <w:t>1.4.1</w:t>
            </w:r>
          </w:p>
          <w:p w14:paraId="664AADEF">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1.4.2</w:t>
            </w:r>
          </w:p>
        </w:tc>
        <w:tc>
          <w:tcPr>
            <w:tcW w:w="1911" w:type="dxa"/>
            <w:vAlign w:val="center"/>
          </w:tcPr>
          <w:p w14:paraId="59FF9C3D">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投标人资格审查方式、资格条件</w:t>
            </w:r>
          </w:p>
        </w:tc>
        <w:tc>
          <w:tcPr>
            <w:tcW w:w="6255" w:type="dxa"/>
            <w:vAlign w:val="center"/>
          </w:tcPr>
          <w:p w14:paraId="3E19B803">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投标人资格审查方式：资格后审</w:t>
            </w:r>
          </w:p>
          <w:p w14:paraId="7BB51B7C">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投标人资格条件见招标公告</w:t>
            </w:r>
          </w:p>
        </w:tc>
      </w:tr>
      <w:tr w14:paraId="3EE36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203C2385">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rPr>
              <w:t>1.</w:t>
            </w:r>
            <w:r>
              <w:rPr>
                <w:rFonts w:hint="eastAsia"/>
                <w:snapToGrid w:val="0"/>
                <w:color w:val="auto"/>
                <w:sz w:val="24"/>
                <w:szCs w:val="24"/>
                <w:highlight w:val="none"/>
                <w:lang w:eastAsia="zh-CN"/>
              </w:rPr>
              <w:t>5</w:t>
            </w:r>
            <w:r>
              <w:rPr>
                <w:rFonts w:hint="eastAsia"/>
                <w:snapToGrid w:val="0"/>
                <w:color w:val="auto"/>
                <w:sz w:val="24"/>
                <w:szCs w:val="24"/>
                <w:highlight w:val="none"/>
              </w:rPr>
              <w:t>.</w:t>
            </w:r>
            <w:r>
              <w:rPr>
                <w:rFonts w:hint="eastAsia"/>
                <w:snapToGrid w:val="0"/>
                <w:color w:val="auto"/>
                <w:sz w:val="24"/>
                <w:szCs w:val="24"/>
                <w:highlight w:val="none"/>
                <w:lang w:eastAsia="zh-CN"/>
              </w:rPr>
              <w:t>1</w:t>
            </w:r>
          </w:p>
        </w:tc>
        <w:tc>
          <w:tcPr>
            <w:tcW w:w="1911" w:type="dxa"/>
            <w:vAlign w:val="center"/>
          </w:tcPr>
          <w:p w14:paraId="3E2B6AC6">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rPr>
              <w:t>联合体投标</w:t>
            </w:r>
            <w:r>
              <w:rPr>
                <w:rFonts w:hint="eastAsia"/>
                <w:snapToGrid w:val="0"/>
                <w:color w:val="auto"/>
                <w:sz w:val="24"/>
                <w:szCs w:val="24"/>
                <w:highlight w:val="none"/>
                <w:lang w:eastAsia="zh-CN"/>
              </w:rPr>
              <w:t>要求</w:t>
            </w:r>
          </w:p>
        </w:tc>
        <w:tc>
          <w:tcPr>
            <w:tcW w:w="6255" w:type="dxa"/>
            <w:vAlign w:val="center"/>
          </w:tcPr>
          <w:p w14:paraId="22AC1662">
            <w:pPr>
              <w:pStyle w:val="21"/>
              <w:adjustRightInd w:val="0"/>
              <w:snapToGrid w:val="0"/>
              <w:spacing w:before="0" w:beforeAutospacing="0" w:after="0" w:afterAutospacing="0" w:line="400" w:lineRule="exact"/>
              <w:rPr>
                <w:rFonts w:cs="宋体"/>
                <w:snapToGrid w:val="0"/>
                <w:color w:val="auto"/>
                <w:highlight w:val="none"/>
              </w:rPr>
            </w:pPr>
            <w:r>
              <w:rPr>
                <w:rFonts w:hint="eastAsia" w:cs="宋体"/>
                <w:snapToGrid w:val="0"/>
                <w:color w:val="auto"/>
                <w:highlight w:val="none"/>
              </w:rPr>
              <w:t>☑不接受</w:t>
            </w:r>
          </w:p>
        </w:tc>
      </w:tr>
      <w:tr w14:paraId="3F1EC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02" w:type="dxa"/>
            <w:vAlign w:val="center"/>
          </w:tcPr>
          <w:p w14:paraId="3540C03B">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1.6.1</w:t>
            </w:r>
          </w:p>
        </w:tc>
        <w:tc>
          <w:tcPr>
            <w:tcW w:w="1911" w:type="dxa"/>
            <w:vAlign w:val="center"/>
          </w:tcPr>
          <w:p w14:paraId="101B61FE">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关联性投标要求</w:t>
            </w:r>
          </w:p>
        </w:tc>
        <w:tc>
          <w:tcPr>
            <w:tcW w:w="6255" w:type="dxa"/>
            <w:vAlign w:val="center"/>
          </w:tcPr>
          <w:p w14:paraId="058AF67D">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见招标公告</w:t>
            </w:r>
          </w:p>
        </w:tc>
      </w:tr>
      <w:tr w14:paraId="175ED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02" w:type="dxa"/>
            <w:vAlign w:val="center"/>
          </w:tcPr>
          <w:p w14:paraId="1B17389B">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1.7.1</w:t>
            </w:r>
          </w:p>
        </w:tc>
        <w:tc>
          <w:tcPr>
            <w:tcW w:w="1911" w:type="dxa"/>
            <w:vAlign w:val="center"/>
          </w:tcPr>
          <w:p w14:paraId="64E35392">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分包</w:t>
            </w:r>
          </w:p>
        </w:tc>
        <w:tc>
          <w:tcPr>
            <w:tcW w:w="6255" w:type="dxa"/>
            <w:vAlign w:val="center"/>
          </w:tcPr>
          <w:p w14:paraId="0009E9E6">
            <w:pPr>
              <w:autoSpaceDE w:val="0"/>
              <w:autoSpaceDN w:val="0"/>
              <w:adjustRightInd w:val="0"/>
              <w:snapToGrid w:val="0"/>
              <w:spacing w:line="320" w:lineRule="exact"/>
              <w:rPr>
                <w:rFonts w:ascii="宋体" w:hAnsi="宋体" w:eastAsia="宋体" w:cs="宋体"/>
                <w:snapToGrid w:val="0"/>
                <w:color w:val="auto"/>
                <w:sz w:val="24"/>
                <w:highlight w:val="none"/>
              </w:rPr>
            </w:pPr>
            <w:r>
              <w:rPr>
                <w:rFonts w:hint="eastAsia" w:ascii="宋体" w:hAnsi="宋体" w:eastAsia="宋体" w:cs="宋体"/>
                <w:snapToGrid w:val="0"/>
                <w:color w:val="auto"/>
                <w:kern w:val="0"/>
                <w:sz w:val="24"/>
                <w:highlight w:val="none"/>
              </w:rPr>
              <w:t>（1）分包：☑ 不允许</w:t>
            </w:r>
          </w:p>
        </w:tc>
      </w:tr>
      <w:tr w14:paraId="14AF6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2CA745D6">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1.8</w:t>
            </w:r>
          </w:p>
        </w:tc>
        <w:tc>
          <w:tcPr>
            <w:tcW w:w="1911" w:type="dxa"/>
            <w:vAlign w:val="center"/>
          </w:tcPr>
          <w:p w14:paraId="282F0059">
            <w:pPr>
              <w:pStyle w:val="46"/>
              <w:adjustRightInd w:val="0"/>
              <w:snapToGrid w:val="0"/>
              <w:spacing w:line="400" w:lineRule="exact"/>
              <w:jc w:val="center"/>
              <w:rPr>
                <w:snapToGrid w:val="0"/>
                <w:color w:val="auto"/>
                <w:sz w:val="24"/>
                <w:szCs w:val="24"/>
                <w:highlight w:val="none"/>
              </w:rPr>
            </w:pPr>
            <w:r>
              <w:rPr>
                <w:rFonts w:hint="eastAsia"/>
                <w:snapToGrid w:val="0"/>
                <w:color w:val="auto"/>
                <w:sz w:val="24"/>
                <w:szCs w:val="24"/>
                <w:highlight w:val="none"/>
                <w:lang w:eastAsia="zh-CN"/>
              </w:rPr>
              <w:t>响应和</w:t>
            </w:r>
            <w:r>
              <w:rPr>
                <w:rFonts w:hint="eastAsia"/>
                <w:snapToGrid w:val="0"/>
                <w:color w:val="auto"/>
                <w:sz w:val="24"/>
                <w:szCs w:val="24"/>
                <w:highlight w:val="none"/>
              </w:rPr>
              <w:t>偏差</w:t>
            </w:r>
          </w:p>
        </w:tc>
        <w:tc>
          <w:tcPr>
            <w:tcW w:w="6255" w:type="dxa"/>
            <w:vAlign w:val="center"/>
          </w:tcPr>
          <w:p w14:paraId="2E2D2349">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对投标响应和偏差的要求详见投标人须知1.8</w:t>
            </w:r>
          </w:p>
        </w:tc>
      </w:tr>
      <w:tr w14:paraId="11C4E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2964B63A">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2</w:t>
            </w:r>
            <w:r>
              <w:rPr>
                <w:rFonts w:hint="eastAsia"/>
                <w:snapToGrid w:val="0"/>
                <w:color w:val="auto"/>
                <w:sz w:val="24"/>
                <w:szCs w:val="24"/>
                <w:highlight w:val="none"/>
              </w:rPr>
              <w:t>.</w:t>
            </w:r>
            <w:r>
              <w:rPr>
                <w:rFonts w:hint="eastAsia"/>
                <w:snapToGrid w:val="0"/>
                <w:color w:val="auto"/>
                <w:sz w:val="24"/>
                <w:szCs w:val="24"/>
                <w:highlight w:val="none"/>
                <w:lang w:eastAsia="zh-CN"/>
              </w:rPr>
              <w:t>2</w:t>
            </w:r>
            <w:r>
              <w:rPr>
                <w:rFonts w:hint="eastAsia"/>
                <w:snapToGrid w:val="0"/>
                <w:color w:val="auto"/>
                <w:sz w:val="24"/>
                <w:szCs w:val="24"/>
                <w:highlight w:val="none"/>
              </w:rPr>
              <w:t>.</w:t>
            </w:r>
            <w:r>
              <w:rPr>
                <w:rFonts w:hint="eastAsia"/>
                <w:snapToGrid w:val="0"/>
                <w:color w:val="auto"/>
                <w:sz w:val="24"/>
                <w:szCs w:val="24"/>
                <w:highlight w:val="none"/>
                <w:lang w:eastAsia="zh-CN"/>
              </w:rPr>
              <w:t>1</w:t>
            </w:r>
          </w:p>
        </w:tc>
        <w:tc>
          <w:tcPr>
            <w:tcW w:w="1911" w:type="dxa"/>
            <w:vAlign w:val="center"/>
          </w:tcPr>
          <w:p w14:paraId="17AFA996">
            <w:pPr>
              <w:pStyle w:val="46"/>
              <w:snapToGrid w:val="0"/>
              <w:spacing w:line="400" w:lineRule="exact"/>
              <w:ind w:right="64" w:rightChars="20"/>
              <w:jc w:val="center"/>
              <w:rPr>
                <w:snapToGrid w:val="0"/>
                <w:color w:val="auto"/>
                <w:sz w:val="24"/>
                <w:szCs w:val="24"/>
                <w:highlight w:val="none"/>
                <w:lang w:eastAsia="zh-CN"/>
              </w:rPr>
            </w:pPr>
            <w:r>
              <w:rPr>
                <w:rFonts w:hint="eastAsia"/>
                <w:snapToGrid w:val="0"/>
                <w:color w:val="auto"/>
                <w:sz w:val="24"/>
                <w:szCs w:val="24"/>
                <w:highlight w:val="none"/>
                <w:lang w:eastAsia="zh-CN"/>
              </w:rPr>
              <w:t>招标文件的获取</w:t>
            </w:r>
          </w:p>
        </w:tc>
        <w:tc>
          <w:tcPr>
            <w:tcW w:w="6255" w:type="dxa"/>
            <w:vAlign w:val="center"/>
          </w:tcPr>
          <w:p w14:paraId="4909A327">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招标文件的获取方式、要求见招标公告</w:t>
            </w:r>
          </w:p>
        </w:tc>
      </w:tr>
      <w:tr w14:paraId="554DA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4A4B61FA">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2.3.1</w:t>
            </w:r>
          </w:p>
        </w:tc>
        <w:tc>
          <w:tcPr>
            <w:tcW w:w="1911" w:type="dxa"/>
            <w:vAlign w:val="center"/>
          </w:tcPr>
          <w:p w14:paraId="48FA863E">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对招标文件提出问题的截止时间、方式</w:t>
            </w:r>
          </w:p>
        </w:tc>
        <w:tc>
          <w:tcPr>
            <w:tcW w:w="6255" w:type="dxa"/>
            <w:vAlign w:val="center"/>
          </w:tcPr>
          <w:p w14:paraId="4DFCCADE">
            <w:pPr>
              <w:autoSpaceDE w:val="0"/>
              <w:autoSpaceDN w:val="0"/>
              <w:adjustRightInd w:val="0"/>
              <w:snapToGrid w:val="0"/>
              <w:spacing w:line="400" w:lineRule="exact"/>
              <w:jc w:val="left"/>
              <w:rPr>
                <w:rFonts w:ascii="宋体" w:hAnsi="宋体" w:eastAsia="宋体" w:cs="宋体"/>
                <w:b/>
                <w:bCs/>
                <w:color w:val="auto"/>
                <w:kern w:val="0"/>
                <w:sz w:val="24"/>
                <w:highlight w:val="none"/>
                <w:u w:val="single"/>
              </w:rPr>
            </w:pPr>
            <w:r>
              <w:rPr>
                <w:rFonts w:hint="eastAsia" w:ascii="宋体" w:hAnsi="宋体" w:eastAsia="宋体" w:cs="宋体"/>
                <w:color w:val="auto"/>
                <w:kern w:val="0"/>
                <w:sz w:val="24"/>
                <w:highlight w:val="none"/>
              </w:rPr>
              <w:t>提出问题截止时间：</w:t>
            </w:r>
            <w:r>
              <w:rPr>
                <w:rFonts w:hint="eastAsia" w:ascii="宋体" w:hAnsi="宋体" w:eastAsia="宋体" w:cs="宋体"/>
                <w:b/>
                <w:bCs/>
                <w:color w:val="auto"/>
                <w:kern w:val="0"/>
                <w:sz w:val="24"/>
                <w:highlight w:val="none"/>
                <w:u w:val="single"/>
              </w:rPr>
              <w:t>2024年</w:t>
            </w:r>
            <w:r>
              <w:rPr>
                <w:rFonts w:hint="eastAsia" w:ascii="宋体" w:hAnsi="宋体" w:eastAsia="宋体" w:cs="宋体"/>
                <w:b/>
                <w:bCs/>
                <w:color w:val="auto"/>
                <w:kern w:val="0"/>
                <w:sz w:val="24"/>
                <w:highlight w:val="none"/>
                <w:u w:val="single"/>
                <w:lang w:val="en-US" w:eastAsia="zh-CN"/>
              </w:rPr>
              <w:t>12</w:t>
            </w:r>
            <w:r>
              <w:rPr>
                <w:rFonts w:hint="eastAsia" w:ascii="宋体" w:hAnsi="宋体" w:eastAsia="宋体" w:cs="宋体"/>
                <w:b/>
                <w:bCs/>
                <w:color w:val="auto"/>
                <w:kern w:val="0"/>
                <w:sz w:val="24"/>
                <w:highlight w:val="none"/>
                <w:u w:val="single"/>
              </w:rPr>
              <w:t>月</w:t>
            </w:r>
            <w:r>
              <w:rPr>
                <w:rFonts w:hint="eastAsia" w:ascii="宋体" w:hAnsi="宋体" w:eastAsia="宋体" w:cs="宋体"/>
                <w:b/>
                <w:bCs/>
                <w:color w:val="auto"/>
                <w:kern w:val="0"/>
                <w:sz w:val="24"/>
                <w:highlight w:val="none"/>
                <w:u w:val="single"/>
                <w:lang w:val="en-US" w:eastAsia="zh-CN"/>
              </w:rPr>
              <w:t>2</w:t>
            </w:r>
            <w:r>
              <w:rPr>
                <w:rFonts w:hint="eastAsia" w:ascii="宋体" w:hAnsi="宋体" w:eastAsia="宋体" w:cs="宋体"/>
                <w:b/>
                <w:bCs/>
                <w:color w:val="auto"/>
                <w:kern w:val="0"/>
                <w:sz w:val="24"/>
                <w:highlight w:val="none"/>
                <w:u w:val="single"/>
              </w:rPr>
              <w:t>日17:00</w:t>
            </w:r>
          </w:p>
          <w:p w14:paraId="75FF9863">
            <w:pPr>
              <w:autoSpaceDE w:val="0"/>
              <w:autoSpaceDN w:val="0"/>
              <w:adjustRightInd w:val="0"/>
              <w:snapToGrid w:val="0"/>
              <w:spacing w:line="400" w:lineRule="exact"/>
              <w:rPr>
                <w:rFonts w:ascii="宋体" w:hAnsi="宋体" w:eastAsia="宋体" w:cs="宋体"/>
                <w:b/>
                <w:color w:val="auto"/>
                <w:kern w:val="0"/>
                <w:sz w:val="21"/>
                <w:szCs w:val="21"/>
                <w:highlight w:val="none"/>
              </w:rPr>
            </w:pPr>
            <w:r>
              <w:rPr>
                <w:rFonts w:hint="eastAsia" w:ascii="宋体" w:hAnsi="宋体" w:eastAsia="宋体" w:cs="宋体"/>
                <w:color w:val="auto"/>
                <w:kern w:val="0"/>
                <w:sz w:val="24"/>
                <w:highlight w:val="none"/>
              </w:rPr>
              <w:t>提出问题</w:t>
            </w:r>
            <w:r>
              <w:rPr>
                <w:rFonts w:hint="eastAsia" w:ascii="宋体" w:hAnsi="宋体" w:eastAsia="宋体" w:cs="宋体"/>
                <w:snapToGrid w:val="0"/>
                <w:color w:val="auto"/>
                <w:kern w:val="0"/>
                <w:sz w:val="24"/>
                <w:highlight w:val="none"/>
              </w:rPr>
              <w:t>方式：投标人登录城投招采平台https://jczx.hzcjtz.com/home/#/home点击本标段详情中的【提疑】即可进入编辑提疑界面。点击【提疑】按钮可编写提疑信息。注意需在提疑截止时间之前进行提疑。</w:t>
            </w:r>
            <w:r>
              <w:rPr>
                <w:rFonts w:hint="eastAsia" w:ascii="宋体" w:hAnsi="宋体" w:eastAsia="宋体" w:cs="宋体"/>
                <w:b/>
                <w:bCs/>
                <w:color w:val="auto"/>
                <w:kern w:val="0"/>
                <w:sz w:val="24"/>
                <w:highlight w:val="none"/>
              </w:rPr>
              <w:t xml:space="preserve">联系方式:13735862673，联系人:周咪咪 </w:t>
            </w:r>
          </w:p>
          <w:p w14:paraId="698603D3">
            <w:pPr>
              <w:autoSpaceDE w:val="0"/>
              <w:autoSpaceDN w:val="0"/>
              <w:adjustRightInd w:val="0"/>
              <w:snapToGrid w:val="0"/>
              <w:spacing w:line="400" w:lineRule="exact"/>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注：未按上述要求提出的问题，招标人有权不予答复。</w:t>
            </w:r>
          </w:p>
        </w:tc>
      </w:tr>
      <w:tr w14:paraId="39FCF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FAE3699">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2.3.2</w:t>
            </w:r>
          </w:p>
        </w:tc>
        <w:tc>
          <w:tcPr>
            <w:tcW w:w="1911" w:type="dxa"/>
            <w:vAlign w:val="center"/>
          </w:tcPr>
          <w:p w14:paraId="79714858">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sz w:val="24"/>
                <w:highlight w:val="none"/>
              </w:rPr>
              <w:t>招标文件澄清、修改发出的形式</w:t>
            </w:r>
          </w:p>
        </w:tc>
        <w:tc>
          <w:tcPr>
            <w:tcW w:w="6255" w:type="dxa"/>
            <w:vAlign w:val="center"/>
          </w:tcPr>
          <w:p w14:paraId="09F16417">
            <w:pPr>
              <w:adjustRightInd w:val="0"/>
              <w:snapToGrid w:val="0"/>
              <w:spacing w:line="360" w:lineRule="auto"/>
              <w:jc w:val="left"/>
              <w:rPr>
                <w:rFonts w:ascii="宋体" w:hAnsi="宋体" w:eastAsia="宋体" w:cs="宋体"/>
                <w:b/>
                <w:bCs/>
                <w:color w:val="auto"/>
                <w:kern w:val="0"/>
                <w:sz w:val="24"/>
                <w:highlight w:val="none"/>
                <w:u w:val="single"/>
              </w:rPr>
            </w:pPr>
            <w:r>
              <w:rPr>
                <w:rFonts w:hint="eastAsia" w:ascii="宋体" w:hAnsi="宋体" w:eastAsia="宋体" w:cs="宋体"/>
                <w:color w:val="auto"/>
                <w:kern w:val="0"/>
                <w:sz w:val="24"/>
                <w:highlight w:val="none"/>
              </w:rPr>
              <w:t>澄清问题截止时间：</w:t>
            </w:r>
            <w:r>
              <w:rPr>
                <w:rFonts w:hint="eastAsia" w:ascii="宋体" w:hAnsi="宋体" w:eastAsia="宋体" w:cs="宋体"/>
                <w:color w:val="auto"/>
                <w:kern w:val="0"/>
                <w:sz w:val="24"/>
                <w:highlight w:val="none"/>
                <w:u w:val="single"/>
              </w:rPr>
              <w:t>2024</w:t>
            </w:r>
            <w:r>
              <w:rPr>
                <w:rFonts w:hint="eastAsia" w:ascii="宋体" w:hAnsi="宋体" w:eastAsia="宋体" w:cs="宋体"/>
                <w:b/>
                <w:bCs/>
                <w:color w:val="auto"/>
                <w:kern w:val="0"/>
                <w:sz w:val="24"/>
                <w:highlight w:val="none"/>
                <w:u w:val="single"/>
              </w:rPr>
              <w:t>年</w:t>
            </w:r>
            <w:r>
              <w:rPr>
                <w:rFonts w:hint="eastAsia" w:ascii="宋体" w:hAnsi="宋体" w:eastAsia="宋体" w:cs="宋体"/>
                <w:b/>
                <w:bCs/>
                <w:color w:val="auto"/>
                <w:kern w:val="0"/>
                <w:sz w:val="24"/>
                <w:highlight w:val="none"/>
                <w:u w:val="single"/>
                <w:lang w:val="en-US" w:eastAsia="zh-CN"/>
              </w:rPr>
              <w:t>12</w:t>
            </w:r>
            <w:r>
              <w:rPr>
                <w:rFonts w:hint="eastAsia" w:ascii="宋体" w:hAnsi="宋体" w:eastAsia="宋体" w:cs="宋体"/>
                <w:b/>
                <w:bCs/>
                <w:color w:val="auto"/>
                <w:kern w:val="0"/>
                <w:sz w:val="24"/>
                <w:highlight w:val="none"/>
                <w:u w:val="single"/>
              </w:rPr>
              <w:t>月</w:t>
            </w:r>
            <w:r>
              <w:rPr>
                <w:rFonts w:hint="eastAsia" w:ascii="宋体" w:hAnsi="宋体" w:eastAsia="宋体" w:cs="宋体"/>
                <w:b/>
                <w:bCs/>
                <w:color w:val="auto"/>
                <w:kern w:val="0"/>
                <w:sz w:val="24"/>
                <w:highlight w:val="none"/>
                <w:u w:val="single"/>
                <w:lang w:val="en-US" w:eastAsia="zh-CN"/>
              </w:rPr>
              <w:t>5</w:t>
            </w:r>
            <w:r>
              <w:rPr>
                <w:rFonts w:hint="eastAsia" w:ascii="宋体" w:hAnsi="宋体" w:eastAsia="宋体" w:cs="宋体"/>
                <w:b/>
                <w:bCs/>
                <w:color w:val="auto"/>
                <w:kern w:val="0"/>
                <w:sz w:val="24"/>
                <w:highlight w:val="none"/>
                <w:u w:val="single"/>
              </w:rPr>
              <w:t>日17:00</w:t>
            </w:r>
          </w:p>
          <w:p w14:paraId="0C996D3F">
            <w:pPr>
              <w:spacing w:line="360" w:lineRule="auto"/>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在</w:t>
            </w:r>
            <w:r>
              <w:rPr>
                <w:rFonts w:hint="eastAsia" w:ascii="宋体" w:hAnsi="宋体" w:eastAsia="宋体" w:cs="宋体"/>
                <w:color w:val="auto"/>
                <w:kern w:val="0"/>
                <w:sz w:val="24"/>
                <w:highlight w:val="none"/>
                <w:lang w:val="zh-CN"/>
              </w:rPr>
              <w:t>本项目招标公告发布页面</w:t>
            </w:r>
            <w:r>
              <w:rPr>
                <w:rFonts w:hint="eastAsia" w:ascii="宋体" w:hAnsi="宋体" w:eastAsia="宋体" w:cs="宋体"/>
                <w:color w:val="auto"/>
                <w:kern w:val="0"/>
                <w:sz w:val="24"/>
                <w:highlight w:val="none"/>
              </w:rPr>
              <w:t>公布（</w:t>
            </w:r>
            <w:r>
              <w:rPr>
                <w:rFonts w:hint="eastAsia" w:ascii="宋体" w:hAnsi="宋体" w:eastAsia="宋体" w:cs="宋体"/>
                <w:color w:val="auto"/>
                <w:kern w:val="0"/>
                <w:sz w:val="24"/>
                <w:highlight w:val="none"/>
                <w:lang w:val="zh-CN"/>
              </w:rPr>
              <w:t>详见招标公告）</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投标人可自行下载</w:t>
            </w:r>
            <w:r>
              <w:rPr>
                <w:rFonts w:hint="eastAsia" w:ascii="宋体" w:hAnsi="宋体" w:eastAsia="宋体" w:cs="宋体"/>
                <w:color w:val="auto"/>
                <w:kern w:val="0"/>
                <w:sz w:val="24"/>
                <w:highlight w:val="none"/>
              </w:rPr>
              <w:t>获取澄清或修改文件，或以电子邮件的形式发送于各投标人</w:t>
            </w:r>
          </w:p>
          <w:p w14:paraId="7500C7C6">
            <w:pPr>
              <w:spacing w:line="360" w:lineRule="auto"/>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注：投标截止时间前，请投标人务必关注补充公告。</w:t>
            </w:r>
          </w:p>
        </w:tc>
      </w:tr>
      <w:tr w14:paraId="1453E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vAlign w:val="center"/>
          </w:tcPr>
          <w:p w14:paraId="38D562C5">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w:t>
            </w:r>
          </w:p>
        </w:tc>
        <w:tc>
          <w:tcPr>
            <w:tcW w:w="1911" w:type="dxa"/>
            <w:vAlign w:val="center"/>
          </w:tcPr>
          <w:p w14:paraId="6D3B0278">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投标文件组成</w:t>
            </w:r>
          </w:p>
        </w:tc>
        <w:tc>
          <w:tcPr>
            <w:tcW w:w="6255" w:type="dxa"/>
            <w:vAlign w:val="center"/>
          </w:tcPr>
          <w:p w14:paraId="0BDAACCF">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投标文件由资格文件、商务文件、资信文件、技术文件四部分组成。</w:t>
            </w:r>
          </w:p>
          <w:p w14:paraId="5F243460">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1.资格文件</w:t>
            </w:r>
          </w:p>
          <w:p w14:paraId="0AFA230A">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有效营业执照或事业单位法人证书、社会团体法人登记证书或其他组织登记证明文件、税务登记证和委托书（或介绍信）（如已办理三证合一的投标人，提供三证合一后的“营业执照”（副本）复印件即可）；</w:t>
            </w:r>
          </w:p>
          <w:p w14:paraId="391EFA25">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（2）投标保证金缴存证明；</w:t>
            </w:r>
          </w:p>
          <w:p w14:paraId="746F2A2A">
            <w:pPr>
              <w:wordWrap w:val="0"/>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（3）提供“信用中国”（www.creditchina.gov.cn）记录查询网页截图、中国政府采购网（www.ccgp.gov.cn）记录查询网页截图，“国家企业信用信息公示系统”（https://www.gsxt.gov.cn/index.html）股权结构查询网页截图；</w:t>
            </w:r>
          </w:p>
          <w:p w14:paraId="67B18D75">
            <w:pPr>
              <w:wordWrap w:val="0"/>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snapToGrid w:val="0"/>
                <w:color w:val="auto"/>
                <w:kern w:val="0"/>
                <w:sz w:val="24"/>
                <w:highlight w:val="none"/>
              </w:rPr>
              <w:t>（4）投标单位在2021年11月1日(以合同签订时间为准)至投标截止日以来具有</w:t>
            </w:r>
            <w:r>
              <w:rPr>
                <w:rFonts w:hint="eastAsia" w:ascii="宋体" w:hAnsi="宋体" w:eastAsia="宋体" w:cs="宋体"/>
                <w:snapToGrid w:val="0"/>
                <w:color w:val="auto"/>
                <w:kern w:val="0"/>
                <w:sz w:val="24"/>
                <w:highlight w:val="none"/>
                <w:lang w:val="en-US" w:eastAsia="zh-CN"/>
              </w:rPr>
              <w:t>1</w:t>
            </w:r>
            <w:r>
              <w:rPr>
                <w:rFonts w:hint="eastAsia" w:ascii="宋体" w:hAnsi="宋体" w:eastAsia="宋体" w:cs="宋体"/>
                <w:snapToGrid w:val="0"/>
                <w:color w:val="auto"/>
                <w:kern w:val="0"/>
                <w:sz w:val="24"/>
                <w:highlight w:val="none"/>
              </w:rPr>
              <w:t>个烟气在线监测运维项目业绩(证明材料:提供合同复印件并加盖公章);</w:t>
            </w:r>
            <w:r>
              <w:rPr>
                <w:rFonts w:hint="eastAsia" w:ascii="宋体" w:hAnsi="宋体" w:eastAsia="宋体" w:cs="宋体"/>
                <w:color w:val="auto"/>
                <w:sz w:val="24"/>
                <w:highlight w:val="none"/>
              </w:rPr>
              <w:t>；</w:t>
            </w:r>
          </w:p>
          <w:p w14:paraId="218CB99E">
            <w:pPr>
              <w:wordWrap w:val="0"/>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2.商务报价部分</w:t>
            </w:r>
          </w:p>
          <w:p w14:paraId="2EB99C65">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（1）投标函；</w:t>
            </w:r>
          </w:p>
          <w:p w14:paraId="21B198CC">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（2）投标报价明细表；</w:t>
            </w:r>
          </w:p>
          <w:p w14:paraId="353F963D">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（3）法定代表人资格证明书、法定代表人授权委托书(单独提供，同时装订在商务报价文件中)；</w:t>
            </w:r>
          </w:p>
          <w:p w14:paraId="63736A9D">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（4）商务偏离表；</w:t>
            </w:r>
          </w:p>
          <w:p w14:paraId="5DCDFBAD">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（5）商务优惠条件及特殊承诺。</w:t>
            </w:r>
          </w:p>
          <w:p w14:paraId="423CF23D">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3.资信文件部分</w:t>
            </w:r>
          </w:p>
          <w:p w14:paraId="3725F88F">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（1）投标人基本情况表；</w:t>
            </w:r>
          </w:p>
          <w:p w14:paraId="46BD5D17">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（2）投标人业绩情况表；</w:t>
            </w:r>
          </w:p>
          <w:p w14:paraId="69A91EB5">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（3）诚信廉洁承诺函；</w:t>
            </w:r>
          </w:p>
          <w:p w14:paraId="180C006A">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（4）投标人认为有必要的其他内容等。</w:t>
            </w:r>
          </w:p>
          <w:p w14:paraId="1F78A340">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4.技术部分</w:t>
            </w:r>
          </w:p>
          <w:p w14:paraId="721B7F53">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（1）技术与服务解决方案：</w:t>
            </w:r>
          </w:p>
          <w:p w14:paraId="23F09262">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（2）技术</w:t>
            </w:r>
            <w:r>
              <w:rPr>
                <w:rFonts w:hint="eastAsia" w:ascii="宋体" w:hAnsi="宋体" w:eastAsia="宋体" w:cs="宋体"/>
                <w:snapToGrid w:val="0"/>
                <w:color w:val="auto"/>
                <w:kern w:val="0"/>
                <w:sz w:val="24"/>
                <w:highlight w:val="none"/>
                <w:lang w:val="zh-CN"/>
              </w:rPr>
              <w:t>优惠条件及特殊承诺</w:t>
            </w:r>
            <w:r>
              <w:rPr>
                <w:rFonts w:hint="eastAsia" w:ascii="宋体" w:hAnsi="宋体" w:eastAsia="宋体" w:cs="宋体"/>
                <w:snapToGrid w:val="0"/>
                <w:color w:val="auto"/>
                <w:kern w:val="0"/>
                <w:sz w:val="24"/>
                <w:highlight w:val="none"/>
              </w:rPr>
              <w:t>；</w:t>
            </w:r>
          </w:p>
          <w:p w14:paraId="5F2C7D8F">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（3）技术偏离表；</w:t>
            </w:r>
          </w:p>
          <w:p w14:paraId="48D9CD7C">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（4）投标人认为需要的提供的其他文件和说明。</w:t>
            </w:r>
          </w:p>
          <w:p w14:paraId="66ACF585">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备注：以上证明材料提供复制件加盖公章。</w:t>
            </w:r>
          </w:p>
        </w:tc>
      </w:tr>
      <w:tr w14:paraId="51F19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72357D34">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3.4.2</w:t>
            </w:r>
          </w:p>
        </w:tc>
        <w:tc>
          <w:tcPr>
            <w:tcW w:w="1911" w:type="dxa"/>
            <w:vAlign w:val="center"/>
          </w:tcPr>
          <w:p w14:paraId="09111FF1">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sz w:val="24"/>
                <w:highlight w:val="none"/>
              </w:rPr>
              <w:t>投标文件份数及其他要求</w:t>
            </w:r>
          </w:p>
        </w:tc>
        <w:tc>
          <w:tcPr>
            <w:tcW w:w="6255" w:type="dxa"/>
            <w:vAlign w:val="center"/>
          </w:tcPr>
          <w:p w14:paraId="71031154">
            <w:pPr>
              <w:pStyle w:val="46"/>
              <w:snapToGrid w:val="0"/>
              <w:spacing w:line="400" w:lineRule="exact"/>
              <w:ind w:right="64" w:rightChars="20"/>
              <w:jc w:val="both"/>
              <w:rPr>
                <w:color w:val="auto"/>
                <w:sz w:val="24"/>
                <w:szCs w:val="24"/>
                <w:highlight w:val="none"/>
                <w:lang w:eastAsia="zh-CN"/>
              </w:rPr>
            </w:pPr>
            <w:r>
              <w:rPr>
                <w:rFonts w:hint="eastAsia"/>
                <w:color w:val="auto"/>
                <w:sz w:val="24"/>
                <w:szCs w:val="24"/>
                <w:highlight w:val="none"/>
                <w:lang w:eastAsia="zh-CN"/>
              </w:rPr>
              <w:t>投标文件份数：1正</w:t>
            </w:r>
            <w:r>
              <w:rPr>
                <w:rFonts w:hint="eastAsia"/>
                <w:color w:val="auto"/>
                <w:sz w:val="24"/>
                <w:szCs w:val="24"/>
                <w:highlight w:val="none"/>
                <w:u w:val="single"/>
                <w:lang w:eastAsia="zh-CN"/>
              </w:rPr>
              <w:t>4</w:t>
            </w:r>
            <w:r>
              <w:rPr>
                <w:rFonts w:hint="eastAsia"/>
                <w:color w:val="auto"/>
                <w:sz w:val="24"/>
                <w:szCs w:val="24"/>
                <w:highlight w:val="none"/>
                <w:lang w:eastAsia="zh-CN"/>
              </w:rPr>
              <w:t>副</w:t>
            </w:r>
          </w:p>
          <w:p w14:paraId="1DBCA6DF">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提交电子版文件：</w:t>
            </w:r>
          </w:p>
          <w:p w14:paraId="695A8D74">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☑是，提交电子版带红章的PDF文件及word版本各1份（形式为：</w:t>
            </w:r>
            <w:r>
              <w:rPr>
                <w:rFonts w:hint="eastAsia" w:ascii="宋体" w:hAnsi="宋体" w:eastAsia="宋体" w:cs="宋体"/>
                <w:color w:val="auto"/>
                <w:sz w:val="24"/>
                <w:highlight w:val="none"/>
                <w:u w:val="single"/>
              </w:rPr>
              <w:t>以电子介质形式（光盘或U盘）与纸质投标文件一并密封递交</w:t>
            </w:r>
            <w:r>
              <w:rPr>
                <w:rFonts w:hint="eastAsia" w:ascii="宋体" w:hAnsi="宋体" w:eastAsia="宋体" w:cs="宋体"/>
                <w:color w:val="auto"/>
                <w:sz w:val="24"/>
                <w:highlight w:val="none"/>
              </w:rPr>
              <w:t>）（与投标文件一起密封）。</w:t>
            </w:r>
          </w:p>
        </w:tc>
      </w:tr>
      <w:tr w14:paraId="272528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002" w:type="dxa"/>
            <w:vAlign w:val="center"/>
          </w:tcPr>
          <w:p w14:paraId="3B3503E9">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3.4.3</w:t>
            </w:r>
          </w:p>
        </w:tc>
        <w:tc>
          <w:tcPr>
            <w:tcW w:w="1911" w:type="dxa"/>
            <w:vAlign w:val="center"/>
          </w:tcPr>
          <w:p w14:paraId="7BE3DB41">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装订要求</w:t>
            </w:r>
          </w:p>
        </w:tc>
        <w:tc>
          <w:tcPr>
            <w:tcW w:w="6255" w:type="dxa"/>
            <w:vAlign w:val="center"/>
          </w:tcPr>
          <w:p w14:paraId="6F5F561B">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是否分册装订：</w:t>
            </w:r>
          </w:p>
          <w:p w14:paraId="37772FA3">
            <w:pPr>
              <w:pStyle w:val="46"/>
              <w:snapToGrid w:val="0"/>
              <w:spacing w:line="400" w:lineRule="exact"/>
              <w:ind w:right="64" w:rightChars="20"/>
              <w:jc w:val="both"/>
              <w:rPr>
                <w:snapToGrid w:val="0"/>
                <w:color w:val="auto"/>
                <w:sz w:val="24"/>
                <w:szCs w:val="24"/>
                <w:highlight w:val="none"/>
                <w:u w:val="single"/>
                <w:lang w:eastAsia="zh-CN"/>
              </w:rPr>
            </w:pPr>
            <w:r>
              <w:rPr>
                <w:rFonts w:hint="eastAsia"/>
                <w:snapToGrid w:val="0"/>
                <w:color w:val="auto"/>
                <w:sz w:val="24"/>
                <w:szCs w:val="24"/>
                <w:highlight w:val="none"/>
                <w:lang w:eastAsia="zh-CN"/>
              </w:rPr>
              <w:t>☑分册或不分册装订皆可；</w:t>
            </w:r>
          </w:p>
          <w:p w14:paraId="726B545B">
            <w:pPr>
              <w:pStyle w:val="46"/>
              <w:snapToGrid w:val="0"/>
              <w:spacing w:line="40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装订要求：A4幅面，卡纸作封面。每册采用胶装方式装订，装订应牢固、不易拆散和换页，不得采用活页装订。</w:t>
            </w:r>
          </w:p>
          <w:p w14:paraId="1A902697">
            <w:pPr>
              <w:pStyle w:val="46"/>
              <w:snapToGrid w:val="0"/>
              <w:spacing w:line="400" w:lineRule="exact"/>
              <w:ind w:right="64" w:rightChars="20"/>
              <w:jc w:val="both"/>
              <w:rPr>
                <w:snapToGrid w:val="0"/>
                <w:color w:val="auto"/>
                <w:sz w:val="24"/>
                <w:szCs w:val="24"/>
                <w:highlight w:val="none"/>
                <w:u w:val="single"/>
                <w:lang w:eastAsia="zh-CN"/>
              </w:rPr>
            </w:pPr>
            <w:r>
              <w:rPr>
                <w:rFonts w:hint="eastAsia"/>
                <w:b/>
                <w:snapToGrid w:val="0"/>
                <w:color w:val="auto"/>
                <w:kern w:val="2"/>
                <w:sz w:val="24"/>
                <w:szCs w:val="24"/>
                <w:highlight w:val="none"/>
                <w:lang w:eastAsia="zh-CN"/>
              </w:rPr>
              <w:t>注：不采用胶装的投标文件将视作未按招标文件规定的格式编制。</w:t>
            </w:r>
          </w:p>
        </w:tc>
      </w:tr>
      <w:tr w14:paraId="6AAE1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vAlign w:val="center"/>
          </w:tcPr>
          <w:p w14:paraId="5788DE34">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3.4.4</w:t>
            </w:r>
          </w:p>
          <w:p w14:paraId="38C159DE">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p>
        </w:tc>
        <w:tc>
          <w:tcPr>
            <w:tcW w:w="1911" w:type="dxa"/>
            <w:vAlign w:val="center"/>
          </w:tcPr>
          <w:p w14:paraId="6CA15F7B">
            <w:pPr>
              <w:pStyle w:val="46"/>
              <w:adjustRightInd w:val="0"/>
              <w:snapToGrid w:val="0"/>
              <w:spacing w:line="400" w:lineRule="exact"/>
              <w:jc w:val="center"/>
              <w:rPr>
                <w:snapToGrid w:val="0"/>
                <w:color w:val="auto"/>
                <w:sz w:val="24"/>
                <w:szCs w:val="24"/>
                <w:highlight w:val="none"/>
                <w:lang w:eastAsia="zh-CN"/>
              </w:rPr>
            </w:pPr>
            <w:r>
              <w:rPr>
                <w:rFonts w:hint="eastAsia"/>
                <w:snapToGrid w:val="0"/>
                <w:color w:val="auto"/>
                <w:sz w:val="24"/>
                <w:szCs w:val="24"/>
                <w:highlight w:val="none"/>
                <w:lang w:eastAsia="zh-CN"/>
              </w:rPr>
              <w:t>投标文件签署、盖章要求</w:t>
            </w:r>
          </w:p>
        </w:tc>
        <w:tc>
          <w:tcPr>
            <w:tcW w:w="6255" w:type="dxa"/>
            <w:vAlign w:val="center"/>
          </w:tcPr>
          <w:p w14:paraId="05D8D69E">
            <w:pPr>
              <w:pStyle w:val="46"/>
              <w:spacing w:line="400" w:lineRule="exact"/>
              <w:jc w:val="both"/>
              <w:rPr>
                <w:snapToGrid w:val="0"/>
                <w:color w:val="auto"/>
                <w:sz w:val="24"/>
                <w:szCs w:val="24"/>
                <w:highlight w:val="none"/>
                <w:lang w:eastAsia="zh-CN"/>
              </w:rPr>
            </w:pPr>
            <w:r>
              <w:rPr>
                <w:rFonts w:hint="eastAsia"/>
                <w:snapToGrid w:val="0"/>
                <w:color w:val="auto"/>
                <w:sz w:val="24"/>
                <w:szCs w:val="24"/>
                <w:highlight w:val="none"/>
                <w:lang w:eastAsia="zh-CN"/>
              </w:rPr>
              <w:t>对投标文件签署、盖章的要求详见投标人须知3.4.4。</w:t>
            </w:r>
          </w:p>
        </w:tc>
      </w:tr>
      <w:tr w14:paraId="395A4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33005EC6">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4.1.1</w:t>
            </w:r>
          </w:p>
        </w:tc>
        <w:tc>
          <w:tcPr>
            <w:tcW w:w="1911" w:type="dxa"/>
            <w:vAlign w:val="center"/>
          </w:tcPr>
          <w:p w14:paraId="3040AD1E">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踏勘现场</w:t>
            </w:r>
          </w:p>
        </w:tc>
        <w:tc>
          <w:tcPr>
            <w:tcW w:w="6255" w:type="dxa"/>
            <w:vAlign w:val="center"/>
          </w:tcPr>
          <w:p w14:paraId="3C3E33E9">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☑不组织。</w:t>
            </w:r>
          </w:p>
        </w:tc>
      </w:tr>
      <w:tr w14:paraId="7ADA3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585F2219">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4.2.1</w:t>
            </w:r>
          </w:p>
        </w:tc>
        <w:tc>
          <w:tcPr>
            <w:tcW w:w="1911" w:type="dxa"/>
            <w:vAlign w:val="center"/>
          </w:tcPr>
          <w:p w14:paraId="54ABF22C">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投标预备会</w:t>
            </w:r>
          </w:p>
        </w:tc>
        <w:tc>
          <w:tcPr>
            <w:tcW w:w="6255" w:type="dxa"/>
            <w:vAlign w:val="center"/>
          </w:tcPr>
          <w:p w14:paraId="63765AB3">
            <w:pPr>
              <w:widowControl/>
              <w:jc w:val="left"/>
              <w:rPr>
                <w:rFonts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本项目是否召开投标预备会：</w:t>
            </w:r>
          </w:p>
          <w:p w14:paraId="4E826143">
            <w:pPr>
              <w:widowControl/>
              <w:spacing w:line="400" w:lineRule="exact"/>
              <w:jc w:val="left"/>
              <w:rPr>
                <w:rFonts w:ascii="宋体" w:hAnsi="宋体" w:eastAsia="宋体" w:cs="宋体"/>
                <w:snapToGrid w:val="0"/>
                <w:color w:val="auto"/>
                <w:kern w:val="0"/>
                <w:sz w:val="24"/>
                <w:highlight w:val="none"/>
                <w:u w:val="single"/>
              </w:rPr>
            </w:pPr>
            <w:r>
              <w:rPr>
                <w:rFonts w:hint="eastAsia" w:ascii="宋体" w:hAnsi="宋体" w:eastAsia="宋体" w:cs="宋体"/>
                <w:color w:val="auto"/>
                <w:kern w:val="0"/>
                <w:sz w:val="24"/>
                <w:highlight w:val="none"/>
                <w:lang w:bidi="ar"/>
              </w:rPr>
              <w:sym w:font="Wingdings" w:char="00FE"/>
            </w:r>
            <w:r>
              <w:rPr>
                <w:rFonts w:hint="eastAsia" w:ascii="宋体" w:hAnsi="宋体" w:eastAsia="宋体" w:cs="宋体"/>
                <w:color w:val="auto"/>
                <w:kern w:val="0"/>
                <w:sz w:val="24"/>
                <w:highlight w:val="none"/>
                <w:lang w:bidi="ar"/>
              </w:rPr>
              <w:t>不召开</w:t>
            </w:r>
          </w:p>
        </w:tc>
      </w:tr>
      <w:tr w14:paraId="0773B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20AA2BAF">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4.3.1</w:t>
            </w:r>
          </w:p>
          <w:p w14:paraId="3B5A8C80">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4.3.2</w:t>
            </w:r>
          </w:p>
        </w:tc>
        <w:tc>
          <w:tcPr>
            <w:tcW w:w="1911" w:type="dxa"/>
            <w:vAlign w:val="center"/>
          </w:tcPr>
          <w:p w14:paraId="1BCCDF9F">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投标保证金</w:t>
            </w:r>
          </w:p>
        </w:tc>
        <w:tc>
          <w:tcPr>
            <w:tcW w:w="6255" w:type="dxa"/>
            <w:vAlign w:val="center"/>
          </w:tcPr>
          <w:p w14:paraId="1DAB976D">
            <w:pPr>
              <w:widowControl/>
              <w:spacing w:line="400" w:lineRule="exact"/>
              <w:jc w:val="left"/>
              <w:rPr>
                <w:rFonts w:ascii="宋体" w:hAnsi="宋体" w:eastAsia="宋体" w:cs="宋体"/>
                <w:color w:val="auto"/>
                <w:kern w:val="0"/>
                <w:sz w:val="24"/>
                <w:highlight w:val="none"/>
                <w:lang w:bidi="ar"/>
              </w:rPr>
            </w:pPr>
            <w:r>
              <w:rPr>
                <w:rFonts w:hint="eastAsia" w:ascii="宋体" w:hAnsi="宋体" w:eastAsia="宋体" w:cs="宋体"/>
                <w:b/>
                <w:snapToGrid w:val="0"/>
                <w:color w:val="auto"/>
                <w:kern w:val="0"/>
                <w:sz w:val="24"/>
                <w:highlight w:val="none"/>
              </w:rPr>
              <w:t>本项目</w:t>
            </w:r>
            <w:r>
              <w:rPr>
                <w:rFonts w:hint="eastAsia" w:ascii="宋体" w:hAnsi="宋体" w:eastAsia="宋体" w:cs="宋体"/>
                <w:color w:val="auto"/>
                <w:sz w:val="24"/>
                <w:highlight w:val="none"/>
              </w:rPr>
              <w:t xml:space="preserve"> </w:t>
            </w:r>
            <w:r>
              <w:rPr>
                <w:rFonts w:hint="eastAsia" w:ascii="宋体" w:hAnsi="宋体" w:eastAsia="宋体" w:cs="宋体"/>
                <w:snapToGrid w:val="0"/>
                <w:color w:val="auto"/>
                <w:sz w:val="24"/>
                <w:highlight w:val="none"/>
              </w:rPr>
              <w:sym w:font="Wingdings 2" w:char="0052"/>
            </w:r>
            <w:r>
              <w:rPr>
                <w:rFonts w:hint="eastAsia" w:ascii="宋体" w:hAnsi="宋体" w:eastAsia="宋体" w:cs="宋体"/>
                <w:snapToGrid w:val="0"/>
                <w:color w:val="auto"/>
                <w:sz w:val="24"/>
                <w:highlight w:val="none"/>
              </w:rPr>
              <w:t xml:space="preserve"> </w:t>
            </w:r>
            <w:r>
              <w:rPr>
                <w:rFonts w:hint="eastAsia" w:ascii="宋体" w:hAnsi="宋体" w:eastAsia="宋体" w:cs="宋体"/>
                <w:b/>
                <w:snapToGrid w:val="0"/>
                <w:color w:val="auto"/>
                <w:kern w:val="0"/>
                <w:sz w:val="24"/>
                <w:highlight w:val="none"/>
                <w:u w:val="single"/>
              </w:rPr>
              <w:t>需要缴纳</w:t>
            </w:r>
            <w:r>
              <w:rPr>
                <w:rFonts w:hint="eastAsia" w:ascii="宋体" w:hAnsi="宋体" w:eastAsia="宋体" w:cs="宋体"/>
                <w:b/>
                <w:snapToGrid w:val="0"/>
                <w:color w:val="auto"/>
                <w:kern w:val="0"/>
                <w:sz w:val="24"/>
                <w:highlight w:val="none"/>
              </w:rPr>
              <w:t>投标保证金。</w:t>
            </w:r>
          </w:p>
          <w:p w14:paraId="5ADD0112">
            <w:pPr>
              <w:widowControl/>
              <w:spacing w:line="400" w:lineRule="exact"/>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（1）交纳金额：</w:t>
            </w:r>
            <w:r>
              <w:rPr>
                <w:rFonts w:hint="eastAsia" w:ascii="宋体" w:hAnsi="宋体" w:eastAsia="宋体" w:cs="宋体"/>
                <w:bCs/>
                <w:color w:val="auto"/>
                <w:sz w:val="24"/>
                <w:highlight w:val="none"/>
                <w:u w:val="single"/>
              </w:rPr>
              <w:t>20000</w:t>
            </w:r>
            <w:r>
              <w:rPr>
                <w:rFonts w:hint="eastAsia" w:ascii="宋体" w:hAnsi="宋体" w:eastAsia="宋体" w:cs="宋体"/>
                <w:bCs/>
                <w:color w:val="auto"/>
                <w:sz w:val="24"/>
                <w:highlight w:val="none"/>
              </w:rPr>
              <w:t>元；</w:t>
            </w:r>
          </w:p>
          <w:p w14:paraId="6B7EEC86">
            <w:pPr>
              <w:widowControl/>
              <w:spacing w:line="400" w:lineRule="exact"/>
              <w:jc w:val="left"/>
              <w:rPr>
                <w:rFonts w:ascii="宋体" w:hAnsi="宋体" w:eastAsia="宋体" w:cs="宋体"/>
                <w:b/>
                <w:snapToGrid w:val="0"/>
                <w:color w:val="auto"/>
                <w:kern w:val="0"/>
                <w:sz w:val="24"/>
                <w:highlight w:val="none"/>
              </w:rPr>
            </w:pPr>
            <w:r>
              <w:rPr>
                <w:rFonts w:hint="eastAsia" w:ascii="宋体" w:hAnsi="宋体" w:eastAsia="宋体" w:cs="宋体"/>
                <w:bCs/>
                <w:color w:val="auto"/>
                <w:sz w:val="24"/>
                <w:highlight w:val="none"/>
              </w:rPr>
              <w:t>（2）交纳期限：投标截止时间前。具体详</w:t>
            </w:r>
            <w:r>
              <w:rPr>
                <w:rFonts w:hint="eastAsia" w:ascii="宋体" w:hAnsi="宋体" w:eastAsia="宋体" w:cs="宋体"/>
                <w:b/>
                <w:snapToGrid w:val="0"/>
                <w:color w:val="auto"/>
                <w:kern w:val="0"/>
                <w:sz w:val="24"/>
                <w:highlight w:val="none"/>
              </w:rPr>
              <w:t>见招标公告。</w:t>
            </w:r>
          </w:p>
          <w:p w14:paraId="7F44BA7A">
            <w:pPr>
              <w:widowControl/>
              <w:spacing w:line="400" w:lineRule="exact"/>
              <w:jc w:val="left"/>
              <w:rPr>
                <w:rFonts w:ascii="宋体" w:hAnsi="宋体" w:eastAsia="宋体" w:cs="宋体"/>
                <w:b/>
                <w:snapToGrid w:val="0"/>
                <w:color w:val="auto"/>
                <w:sz w:val="24"/>
                <w:highlight w:val="none"/>
              </w:rPr>
            </w:pPr>
            <w:r>
              <w:rPr>
                <w:rFonts w:hint="eastAsia" w:ascii="宋体" w:hAnsi="宋体" w:eastAsia="宋体" w:cs="宋体"/>
                <w:b/>
                <w:snapToGrid w:val="0"/>
                <w:color w:val="auto"/>
                <w:sz w:val="24"/>
                <w:highlight w:val="none"/>
              </w:rPr>
              <w:t>注：</w:t>
            </w:r>
          </w:p>
          <w:p w14:paraId="0AB2C672">
            <w:pPr>
              <w:widowControl/>
              <w:spacing w:line="400" w:lineRule="exact"/>
              <w:jc w:val="left"/>
              <w:rPr>
                <w:rFonts w:ascii="宋体" w:hAnsi="宋体" w:eastAsia="宋体" w:cs="宋体"/>
                <w:b/>
                <w:snapToGrid w:val="0"/>
                <w:color w:val="auto"/>
                <w:kern w:val="0"/>
                <w:sz w:val="24"/>
                <w:highlight w:val="none"/>
              </w:rPr>
            </w:pPr>
            <w:r>
              <w:rPr>
                <w:rFonts w:hint="eastAsia" w:ascii="宋体" w:hAnsi="宋体" w:eastAsia="宋体" w:cs="宋体"/>
                <w:b/>
                <w:snapToGrid w:val="0"/>
                <w:color w:val="auto"/>
                <w:sz w:val="24"/>
                <w:highlight w:val="none"/>
              </w:rPr>
              <w:t>（1）投标保证金缴纳后，须在投标文件中提供投标保证金缴存证明；</w:t>
            </w:r>
          </w:p>
        </w:tc>
      </w:tr>
      <w:tr w14:paraId="3568C2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7DDD1341">
            <w:pPr>
              <w:autoSpaceDE w:val="0"/>
              <w:autoSpaceDN w:val="0"/>
              <w:adjustRightInd w:val="0"/>
              <w:snapToGrid w:val="0"/>
              <w:spacing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4.4.1</w:t>
            </w:r>
          </w:p>
        </w:tc>
        <w:tc>
          <w:tcPr>
            <w:tcW w:w="1911" w:type="dxa"/>
            <w:vAlign w:val="center"/>
          </w:tcPr>
          <w:p w14:paraId="2538A3C5">
            <w:pPr>
              <w:autoSpaceDE w:val="0"/>
              <w:autoSpaceDN w:val="0"/>
              <w:adjustRightInd w:val="0"/>
              <w:snapToGrid w:val="0"/>
              <w:spacing w:line="400" w:lineRule="exact"/>
              <w:jc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投标样品</w:t>
            </w:r>
          </w:p>
        </w:tc>
        <w:tc>
          <w:tcPr>
            <w:tcW w:w="6255" w:type="dxa"/>
            <w:vAlign w:val="center"/>
          </w:tcPr>
          <w:p w14:paraId="08EF797D">
            <w:pPr>
              <w:widowControl/>
              <w:autoSpaceDE w:val="0"/>
              <w:autoSpaceDN w:val="0"/>
              <w:adjustRightInd w:val="0"/>
              <w:snapToGrid w:val="0"/>
              <w:spacing w:line="32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本项目有无要求投标人提供样品：</w:t>
            </w:r>
          </w:p>
          <w:p w14:paraId="6614575F">
            <w:pPr>
              <w:widowControl/>
              <w:autoSpaceDE w:val="0"/>
              <w:autoSpaceDN w:val="0"/>
              <w:adjustRightInd w:val="0"/>
              <w:snapToGrid w:val="0"/>
              <w:spacing w:line="320" w:lineRule="exact"/>
              <w:ind w:firstLine="240" w:firstLineChars="100"/>
              <w:jc w:val="left"/>
              <w:rPr>
                <w:rFonts w:ascii="宋体" w:hAnsi="宋体" w:eastAsia="宋体" w:cs="宋体"/>
                <w:b/>
                <w:color w:val="auto"/>
                <w:sz w:val="24"/>
                <w:highlight w:val="none"/>
              </w:rPr>
            </w:pPr>
            <w:r>
              <w:rPr>
                <w:rFonts w:hint="eastAsia" w:ascii="宋体" w:hAnsi="宋体" w:eastAsia="宋体" w:cs="宋体"/>
                <w:color w:val="auto"/>
                <w:sz w:val="24"/>
                <w:highlight w:val="none"/>
              </w:rPr>
              <w:t xml:space="preserve"> ☑无 </w:t>
            </w:r>
          </w:p>
        </w:tc>
      </w:tr>
      <w:tr w14:paraId="242B7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F037D5E">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4.5.1</w:t>
            </w:r>
          </w:p>
        </w:tc>
        <w:tc>
          <w:tcPr>
            <w:tcW w:w="1911" w:type="dxa"/>
            <w:vAlign w:val="center"/>
          </w:tcPr>
          <w:p w14:paraId="13ED352D">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投标文件密封包装要求</w:t>
            </w:r>
          </w:p>
        </w:tc>
        <w:tc>
          <w:tcPr>
            <w:tcW w:w="6255" w:type="dxa"/>
            <w:vAlign w:val="center"/>
          </w:tcPr>
          <w:p w14:paraId="0E1DB167">
            <w:pPr>
              <w:pStyle w:val="9"/>
              <w:spacing w:after="0" w:line="400" w:lineRule="exact"/>
              <w:ind w:firstLine="0" w:firstLineChars="0"/>
              <w:rPr>
                <w:rFonts w:ascii="宋体" w:hAnsi="宋体" w:cs="宋体"/>
                <w:color w:val="auto"/>
                <w:sz w:val="24"/>
                <w:szCs w:val="24"/>
                <w:highlight w:val="none"/>
              </w:rPr>
            </w:pPr>
            <w:r>
              <w:rPr>
                <w:rFonts w:hint="eastAsia" w:ascii="宋体" w:hAnsi="宋体" w:cs="宋体"/>
                <w:snapToGrid w:val="0"/>
                <w:color w:val="auto"/>
                <w:sz w:val="24"/>
                <w:szCs w:val="24"/>
                <w:highlight w:val="none"/>
              </w:rPr>
              <w:t>对投标文件密封包装的要求详见投标人须知第4.5。</w:t>
            </w:r>
          </w:p>
        </w:tc>
      </w:tr>
      <w:tr w14:paraId="74640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335EDF9F">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4.5.2</w:t>
            </w:r>
          </w:p>
        </w:tc>
        <w:tc>
          <w:tcPr>
            <w:tcW w:w="1911" w:type="dxa"/>
            <w:vAlign w:val="center"/>
          </w:tcPr>
          <w:p w14:paraId="59B59DDE">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封套上写明</w:t>
            </w:r>
          </w:p>
        </w:tc>
        <w:tc>
          <w:tcPr>
            <w:tcW w:w="6255" w:type="dxa"/>
            <w:vAlign w:val="center"/>
          </w:tcPr>
          <w:p w14:paraId="277635F3">
            <w:pPr>
              <w:autoSpaceDE w:val="0"/>
              <w:autoSpaceDN w:val="0"/>
              <w:adjustRightInd w:val="0"/>
              <w:snapToGrid w:val="0"/>
              <w:spacing w:line="320" w:lineRule="exact"/>
              <w:rPr>
                <w:rFonts w:ascii="宋体" w:hAnsi="宋体" w:eastAsia="宋体" w:cs="宋体"/>
                <w:snapToGrid w:val="0"/>
                <w:color w:val="auto"/>
                <w:kern w:val="0"/>
                <w:sz w:val="24"/>
                <w:highlight w:val="none"/>
              </w:rPr>
            </w:pPr>
            <w:bookmarkStart w:id="3" w:name="OLE_LINK1"/>
            <w:r>
              <w:rPr>
                <w:rFonts w:hint="eastAsia" w:ascii="宋体" w:hAnsi="宋体" w:eastAsia="宋体" w:cs="宋体"/>
                <w:snapToGrid w:val="0"/>
                <w:color w:val="auto"/>
                <w:kern w:val="0"/>
                <w:sz w:val="24"/>
                <w:highlight w:val="none"/>
                <w:u w:val="single"/>
              </w:rPr>
              <w:t xml:space="preserve">         （项目名称）         </w:t>
            </w:r>
            <w:r>
              <w:rPr>
                <w:rFonts w:hint="eastAsia" w:ascii="宋体" w:hAnsi="宋体" w:eastAsia="宋体" w:cs="宋体"/>
                <w:snapToGrid w:val="0"/>
                <w:color w:val="auto"/>
                <w:kern w:val="0"/>
                <w:sz w:val="24"/>
                <w:highlight w:val="none"/>
              </w:rPr>
              <w:t>投标文件</w:t>
            </w:r>
          </w:p>
          <w:p w14:paraId="7D007F1E">
            <w:pPr>
              <w:autoSpaceDE w:val="0"/>
              <w:autoSpaceDN w:val="0"/>
              <w:adjustRightInd w:val="0"/>
              <w:snapToGrid w:val="0"/>
              <w:spacing w:line="32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在</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时</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分（即开标时间）前不得开启。</w:t>
            </w:r>
          </w:p>
          <w:p w14:paraId="1719ABEB">
            <w:pPr>
              <w:autoSpaceDE w:val="0"/>
              <w:autoSpaceDN w:val="0"/>
              <w:adjustRightInd w:val="0"/>
              <w:snapToGrid w:val="0"/>
              <w:spacing w:line="320" w:lineRule="exact"/>
              <w:rPr>
                <w:rFonts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投标人名称：</w:t>
            </w:r>
            <w:r>
              <w:rPr>
                <w:rFonts w:hint="eastAsia" w:ascii="宋体" w:hAnsi="宋体" w:eastAsia="宋体" w:cs="宋体"/>
                <w:snapToGrid w:val="0"/>
                <w:color w:val="auto"/>
                <w:kern w:val="0"/>
                <w:sz w:val="24"/>
                <w:highlight w:val="none"/>
                <w:u w:val="single"/>
              </w:rPr>
              <w:t xml:space="preserve">                       </w:t>
            </w:r>
          </w:p>
          <w:p w14:paraId="4EE52053">
            <w:pPr>
              <w:autoSpaceDE w:val="0"/>
              <w:autoSpaceDN w:val="0"/>
              <w:adjustRightInd w:val="0"/>
              <w:snapToGrid w:val="0"/>
              <w:spacing w:line="32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投标人地址：</w:t>
            </w:r>
            <w:r>
              <w:rPr>
                <w:rFonts w:hint="eastAsia" w:ascii="宋体" w:hAnsi="宋体" w:eastAsia="宋体" w:cs="宋体"/>
                <w:snapToGrid w:val="0"/>
                <w:color w:val="auto"/>
                <w:kern w:val="0"/>
                <w:sz w:val="24"/>
                <w:highlight w:val="none"/>
                <w:u w:val="single"/>
              </w:rPr>
              <w:t xml:space="preserve">                         </w:t>
            </w:r>
          </w:p>
          <w:p w14:paraId="4715F4B5">
            <w:pPr>
              <w:autoSpaceDE w:val="0"/>
              <w:autoSpaceDN w:val="0"/>
              <w:adjustRightInd w:val="0"/>
              <w:snapToGrid w:val="0"/>
              <w:spacing w:line="32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联 系 人：</w:t>
            </w:r>
            <w:r>
              <w:rPr>
                <w:rFonts w:hint="eastAsia" w:ascii="宋体" w:hAnsi="宋体" w:eastAsia="宋体" w:cs="宋体"/>
                <w:snapToGrid w:val="0"/>
                <w:color w:val="auto"/>
                <w:kern w:val="0"/>
                <w:sz w:val="24"/>
                <w:highlight w:val="none"/>
                <w:u w:val="single"/>
              </w:rPr>
              <w:t xml:space="preserve">          </w:t>
            </w:r>
          </w:p>
          <w:p w14:paraId="30599474">
            <w:pPr>
              <w:autoSpaceDE w:val="0"/>
              <w:autoSpaceDN w:val="0"/>
              <w:adjustRightInd w:val="0"/>
              <w:snapToGrid w:val="0"/>
              <w:spacing w:line="320" w:lineRule="exact"/>
              <w:rPr>
                <w:rFonts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手机号码：</w:t>
            </w:r>
            <w:r>
              <w:rPr>
                <w:rFonts w:hint="eastAsia" w:ascii="宋体" w:hAnsi="宋体" w:eastAsia="宋体" w:cs="宋体"/>
                <w:snapToGrid w:val="0"/>
                <w:color w:val="auto"/>
                <w:kern w:val="0"/>
                <w:sz w:val="24"/>
                <w:highlight w:val="none"/>
                <w:u w:val="single"/>
              </w:rPr>
              <w:t xml:space="preserve">          </w:t>
            </w:r>
          </w:p>
          <w:p w14:paraId="77A0F1AA">
            <w:pPr>
              <w:autoSpaceDE w:val="0"/>
              <w:autoSpaceDN w:val="0"/>
              <w:adjustRightInd w:val="0"/>
              <w:snapToGrid w:val="0"/>
              <w:spacing w:line="32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电子邮箱：</w:t>
            </w:r>
            <w:r>
              <w:rPr>
                <w:rFonts w:hint="eastAsia" w:ascii="宋体" w:hAnsi="宋体" w:eastAsia="宋体" w:cs="宋体"/>
                <w:snapToGrid w:val="0"/>
                <w:color w:val="auto"/>
                <w:kern w:val="0"/>
                <w:sz w:val="24"/>
                <w:highlight w:val="none"/>
                <w:u w:val="single"/>
              </w:rPr>
              <w:t xml:space="preserve">          </w:t>
            </w:r>
            <w:bookmarkEnd w:id="3"/>
          </w:p>
        </w:tc>
      </w:tr>
      <w:tr w14:paraId="57F8B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3CF5D6E8">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4.7.1</w:t>
            </w:r>
          </w:p>
        </w:tc>
        <w:tc>
          <w:tcPr>
            <w:tcW w:w="1911" w:type="dxa"/>
            <w:vAlign w:val="center"/>
          </w:tcPr>
          <w:p w14:paraId="3E425CB8">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投标文件递交</w:t>
            </w:r>
          </w:p>
        </w:tc>
        <w:tc>
          <w:tcPr>
            <w:tcW w:w="6255" w:type="dxa"/>
            <w:vAlign w:val="center"/>
          </w:tcPr>
          <w:p w14:paraId="12EBE1E7">
            <w:pPr>
              <w:wordWrap w:val="0"/>
              <w:spacing w:line="400" w:lineRule="exact"/>
              <w:ind w:right="62"/>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文件递交地点：见招标公告。</w:t>
            </w:r>
          </w:p>
          <w:p w14:paraId="7E461356">
            <w:pPr>
              <w:wordWrap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文件递交方式：采用以下方式。</w:t>
            </w:r>
          </w:p>
          <w:p w14:paraId="6160C1D3">
            <w:pPr>
              <w:pStyle w:val="42"/>
              <w:widowControl/>
              <w:spacing w:line="380" w:lineRule="exact"/>
              <w:ind w:firstLine="0" w:firstLineChars="0"/>
              <w:jc w:val="left"/>
              <w:rPr>
                <w:rFonts w:ascii="宋体" w:hAnsi="宋体" w:eastAsia="宋体" w:cs="宋体"/>
                <w:b/>
                <w:color w:val="auto"/>
                <w:sz w:val="24"/>
                <w:szCs w:val="24"/>
                <w:highlight w:val="none"/>
              </w:rPr>
            </w:pPr>
            <w:r>
              <w:rPr>
                <w:rFonts w:hint="eastAsia" w:ascii="宋体" w:hAnsi="宋体" w:eastAsia="宋体" w:cs="宋体"/>
                <w:snapToGrid w:val="0"/>
                <w:color w:val="auto"/>
                <w:sz w:val="24"/>
                <w:szCs w:val="24"/>
                <w:highlight w:val="none"/>
              </w:rPr>
              <w:t>开标现场递交，各投标人法定代表人或其委托代理人对投标文件的递交记录情况进行签字确认。开标现场：</w:t>
            </w:r>
            <w:r>
              <w:rPr>
                <w:rFonts w:hint="eastAsia" w:ascii="宋体" w:hAnsi="宋体" w:eastAsia="宋体" w:cs="宋体"/>
                <w:snapToGrid w:val="0"/>
                <w:color w:val="auto"/>
                <w:sz w:val="24"/>
                <w:szCs w:val="24"/>
                <w:highlight w:val="none"/>
                <w:u w:val="single"/>
              </w:rPr>
              <w:t>见招标公告</w:t>
            </w:r>
            <w:r>
              <w:rPr>
                <w:rFonts w:hint="eastAsia" w:ascii="宋体" w:hAnsi="宋体" w:eastAsia="宋体" w:cs="宋体"/>
                <w:snapToGrid w:val="0"/>
                <w:color w:val="auto"/>
                <w:sz w:val="24"/>
                <w:szCs w:val="24"/>
                <w:highlight w:val="none"/>
              </w:rPr>
              <w:t>。</w:t>
            </w:r>
          </w:p>
        </w:tc>
      </w:tr>
      <w:tr w14:paraId="1E31E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2" w:type="dxa"/>
            <w:vAlign w:val="center"/>
          </w:tcPr>
          <w:p w14:paraId="7BB618F4">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4.7.4</w:t>
            </w:r>
          </w:p>
        </w:tc>
        <w:tc>
          <w:tcPr>
            <w:tcW w:w="1911" w:type="dxa"/>
            <w:vAlign w:val="center"/>
          </w:tcPr>
          <w:p w14:paraId="13E83883">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投标截止时间</w:t>
            </w:r>
          </w:p>
        </w:tc>
        <w:tc>
          <w:tcPr>
            <w:tcW w:w="6255" w:type="dxa"/>
            <w:vAlign w:val="center"/>
          </w:tcPr>
          <w:p w14:paraId="4ECCB468">
            <w:pPr>
              <w:autoSpaceDE w:val="0"/>
              <w:autoSpaceDN w:val="0"/>
              <w:adjustRightInd w:val="0"/>
              <w:snapToGrid w:val="0"/>
              <w:spacing w:line="400" w:lineRule="exact"/>
              <w:ind w:firstLine="241" w:firstLineChars="100"/>
              <w:rPr>
                <w:rFonts w:ascii="宋体" w:hAnsi="宋体" w:eastAsia="宋体" w:cs="宋体"/>
                <w:b/>
                <w:color w:val="auto"/>
                <w:sz w:val="24"/>
                <w:highlight w:val="none"/>
              </w:rPr>
            </w:pPr>
            <w:r>
              <w:rPr>
                <w:rFonts w:hint="eastAsia" w:ascii="宋体" w:hAnsi="宋体" w:eastAsia="宋体" w:cs="宋体"/>
                <w:b/>
                <w:color w:val="auto"/>
                <w:sz w:val="24"/>
                <w:highlight w:val="none"/>
              </w:rPr>
              <w:t>2024</w:t>
            </w:r>
            <w:r>
              <w:rPr>
                <w:rFonts w:hint="eastAsia" w:ascii="宋体" w:hAnsi="宋体" w:eastAsia="宋体" w:cs="宋体"/>
                <w:b/>
                <w:color w:val="auto"/>
                <w:sz w:val="24"/>
                <w:highlight w:val="none"/>
                <w:lang w:val="zh-CN"/>
              </w:rPr>
              <w:t>年</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val="zh-CN"/>
              </w:rPr>
              <w:t>月</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val="zh-CN"/>
              </w:rPr>
              <w:t>日</w:t>
            </w: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lang w:val="zh-CN"/>
              </w:rPr>
              <w:t>时</w:t>
            </w:r>
            <w:r>
              <w:rPr>
                <w:rFonts w:hint="eastAsia" w:ascii="宋体" w:hAnsi="宋体" w:eastAsia="宋体" w:cs="宋体"/>
                <w:b/>
                <w:color w:val="auto"/>
                <w:sz w:val="24"/>
                <w:highlight w:val="none"/>
                <w:lang w:val="en-US" w:eastAsia="zh-CN"/>
              </w:rPr>
              <w:t>30</w:t>
            </w:r>
            <w:r>
              <w:rPr>
                <w:rFonts w:hint="eastAsia" w:ascii="宋体" w:hAnsi="宋体" w:eastAsia="宋体" w:cs="宋体"/>
                <w:b/>
                <w:color w:val="auto"/>
                <w:sz w:val="24"/>
                <w:highlight w:val="none"/>
                <w:lang w:val="zh-CN"/>
              </w:rPr>
              <w:t>分</w:t>
            </w:r>
          </w:p>
        </w:tc>
      </w:tr>
      <w:tr w14:paraId="49AA0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2" w:type="dxa"/>
            <w:vAlign w:val="center"/>
          </w:tcPr>
          <w:p w14:paraId="7BF18581">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4.8.1</w:t>
            </w:r>
          </w:p>
        </w:tc>
        <w:tc>
          <w:tcPr>
            <w:tcW w:w="1911" w:type="dxa"/>
            <w:vAlign w:val="center"/>
          </w:tcPr>
          <w:p w14:paraId="7B9B98CD">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投标有效期</w:t>
            </w:r>
          </w:p>
        </w:tc>
        <w:tc>
          <w:tcPr>
            <w:tcW w:w="6255" w:type="dxa"/>
            <w:vAlign w:val="center"/>
          </w:tcPr>
          <w:p w14:paraId="1B41E2E4">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color w:val="auto"/>
                <w:kern w:val="0"/>
                <w:sz w:val="24"/>
                <w:highlight w:val="none"/>
                <w:u w:val="single"/>
              </w:rPr>
              <w:t>90</w:t>
            </w:r>
            <w:r>
              <w:rPr>
                <w:rFonts w:hint="eastAsia" w:ascii="宋体" w:hAnsi="宋体" w:eastAsia="宋体" w:cs="宋体"/>
                <w:snapToGrid w:val="0"/>
                <w:color w:val="auto"/>
                <w:kern w:val="0"/>
                <w:sz w:val="24"/>
                <w:highlight w:val="none"/>
              </w:rPr>
              <w:t>日历天（从投标截止之日算起）</w:t>
            </w:r>
          </w:p>
        </w:tc>
      </w:tr>
      <w:tr w14:paraId="202D3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AC401B2">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5.1.1</w:t>
            </w:r>
          </w:p>
        </w:tc>
        <w:tc>
          <w:tcPr>
            <w:tcW w:w="1911" w:type="dxa"/>
            <w:vAlign w:val="center"/>
          </w:tcPr>
          <w:p w14:paraId="6C81DB8F">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开标时间和地点</w:t>
            </w:r>
          </w:p>
        </w:tc>
        <w:tc>
          <w:tcPr>
            <w:tcW w:w="6255" w:type="dxa"/>
            <w:vAlign w:val="center"/>
          </w:tcPr>
          <w:p w14:paraId="4CD0EB3E">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开标时间：同投标截止时间。</w:t>
            </w:r>
          </w:p>
          <w:p w14:paraId="05DD91C1">
            <w:pPr>
              <w:autoSpaceDE w:val="0"/>
              <w:autoSpaceDN w:val="0"/>
              <w:adjustRightInd w:val="0"/>
              <w:snapToGrid w:val="0"/>
              <w:spacing w:line="400" w:lineRule="exac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开标地点：同投标文件递交地点。</w:t>
            </w:r>
          </w:p>
        </w:tc>
      </w:tr>
      <w:tr w14:paraId="4E585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2EEC4E8">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5.2.1</w:t>
            </w:r>
          </w:p>
        </w:tc>
        <w:tc>
          <w:tcPr>
            <w:tcW w:w="1911" w:type="dxa"/>
            <w:vAlign w:val="center"/>
          </w:tcPr>
          <w:p w14:paraId="1D049B5A">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开标时</w:t>
            </w:r>
          </w:p>
          <w:p w14:paraId="54C87F79">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应携带的资料</w:t>
            </w:r>
          </w:p>
        </w:tc>
        <w:tc>
          <w:tcPr>
            <w:tcW w:w="6255" w:type="dxa"/>
            <w:vAlign w:val="center"/>
          </w:tcPr>
          <w:p w14:paraId="2ACF2325">
            <w:pPr>
              <w:autoSpaceDE w:val="0"/>
              <w:autoSpaceDN w:val="0"/>
              <w:adjustRightInd w:val="0"/>
              <w:snapToGrid w:val="0"/>
              <w:spacing w:line="312"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参加开标的投标人法定代表人或其委托代理人必须随带本人身份证（或驾驶证或公安机关出具的临时身份证明或港澳台胞证或护照）原件（其他诸如市民卡等无效）、法定代表人身份证明（详见第五章“投标文件格式”，委托代理人还须提供授权委托书）原件，</w:t>
            </w:r>
          </w:p>
          <w:p w14:paraId="67840247">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snapToGrid w:val="0"/>
                <w:color w:val="auto"/>
                <w:kern w:val="0"/>
                <w:sz w:val="24"/>
                <w:highlight w:val="none"/>
              </w:rPr>
              <w:t>注：投标文件递交有效（</w:t>
            </w:r>
            <w:r>
              <w:rPr>
                <w:rFonts w:hint="eastAsia" w:ascii="宋体" w:hAnsi="宋体" w:eastAsia="宋体" w:cs="宋体"/>
                <w:color w:val="auto"/>
                <w:sz w:val="24"/>
                <w:highlight w:val="none"/>
              </w:rPr>
              <w:t>投标文件递交有效性以纸质投标文件递交时间为准，下同</w:t>
            </w:r>
            <w:r>
              <w:rPr>
                <w:rFonts w:hint="eastAsia" w:ascii="宋体" w:hAnsi="宋体" w:eastAsia="宋体" w:cs="宋体"/>
                <w:snapToGrid w:val="0"/>
                <w:color w:val="auto"/>
                <w:kern w:val="0"/>
                <w:sz w:val="24"/>
                <w:highlight w:val="none"/>
              </w:rPr>
              <w:t>），而</w:t>
            </w:r>
            <w:r>
              <w:rPr>
                <w:rFonts w:hint="eastAsia" w:ascii="宋体" w:hAnsi="宋体" w:eastAsia="宋体" w:cs="宋体"/>
                <w:color w:val="auto"/>
                <w:sz w:val="24"/>
                <w:highlight w:val="none"/>
              </w:rPr>
              <w:t>投标人法定代表人或其委托代理人未能参加开标或未能携带上述资料的，视同其未参加开标，不得对开标提出异议，进行开标异常情况登记，不影响开标结果，也不作为否决其投标的评审因素。</w:t>
            </w:r>
          </w:p>
        </w:tc>
      </w:tr>
      <w:tr w14:paraId="15C25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2DB66159">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5.3.1</w:t>
            </w:r>
          </w:p>
        </w:tc>
        <w:tc>
          <w:tcPr>
            <w:tcW w:w="1911" w:type="dxa"/>
            <w:vAlign w:val="center"/>
          </w:tcPr>
          <w:p w14:paraId="48C152A5">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开标顺序</w:t>
            </w:r>
          </w:p>
        </w:tc>
        <w:tc>
          <w:tcPr>
            <w:tcW w:w="6255" w:type="dxa"/>
            <w:vAlign w:val="center"/>
          </w:tcPr>
          <w:p w14:paraId="3B8C7070">
            <w:pPr>
              <w:autoSpaceDE w:val="0"/>
              <w:autoSpaceDN w:val="0"/>
              <w:adjustRightInd w:val="0"/>
              <w:snapToGrid w:val="0"/>
              <w:spacing w:line="400" w:lineRule="exact"/>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按照投标文件后递交先启封的顺序确定</w:t>
            </w:r>
          </w:p>
        </w:tc>
      </w:tr>
      <w:tr w14:paraId="22FEB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2" w:type="dxa"/>
            <w:vAlign w:val="center"/>
          </w:tcPr>
          <w:p w14:paraId="5AFBD5AE">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5.5</w:t>
            </w:r>
          </w:p>
        </w:tc>
        <w:tc>
          <w:tcPr>
            <w:tcW w:w="1911" w:type="dxa"/>
            <w:vAlign w:val="center"/>
          </w:tcPr>
          <w:p w14:paraId="0A415300">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投标文件</w:t>
            </w:r>
          </w:p>
          <w:p w14:paraId="0719D1DD">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拒收、退还</w:t>
            </w:r>
          </w:p>
        </w:tc>
        <w:tc>
          <w:tcPr>
            <w:tcW w:w="6255" w:type="dxa"/>
            <w:vAlign w:val="center"/>
          </w:tcPr>
          <w:p w14:paraId="0494BADE">
            <w:pPr>
              <w:pStyle w:val="8"/>
              <w:adjustRightInd w:val="0"/>
              <w:snapToGrid w:val="0"/>
              <w:spacing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1.出现以下情形之一的，投标文件将被拒绝接收或予以退还：</w:t>
            </w:r>
          </w:p>
          <w:p w14:paraId="58D1973C">
            <w:pPr>
              <w:pStyle w:val="8"/>
              <w:adjustRightInd w:val="0"/>
              <w:snapToGrid w:val="0"/>
              <w:spacing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投标文件逾期送达</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val="zh-CN"/>
              </w:rPr>
              <w:t>未送达指定地点</w:t>
            </w:r>
            <w:r>
              <w:rPr>
                <w:rFonts w:hint="eastAsia" w:ascii="宋体" w:hAnsi="宋体" w:cs="宋体"/>
                <w:color w:val="auto"/>
                <w:sz w:val="24"/>
                <w:szCs w:val="24"/>
                <w:highlight w:val="none"/>
              </w:rPr>
              <w:t>的，招标人将拒绝接收；</w:t>
            </w:r>
          </w:p>
          <w:p w14:paraId="7BA3C8A9">
            <w:pPr>
              <w:pStyle w:val="8"/>
              <w:adjustRightInd w:val="0"/>
              <w:snapToGrid w:val="0"/>
              <w:spacing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（2）投标人在投标截止时间前提交撤回函的投标文件不予启封，并退还给投标人；</w:t>
            </w:r>
          </w:p>
          <w:p w14:paraId="555602DD">
            <w:pPr>
              <w:pStyle w:val="8"/>
              <w:adjustRightInd w:val="0"/>
              <w:snapToGrid w:val="0"/>
              <w:spacing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）投标文件</w:t>
            </w:r>
            <w:r>
              <w:rPr>
                <w:rFonts w:hint="eastAsia" w:ascii="宋体" w:hAnsi="宋体" w:cs="宋体"/>
                <w:color w:val="auto"/>
                <w:sz w:val="24"/>
                <w:szCs w:val="24"/>
                <w:highlight w:val="none"/>
              </w:rPr>
              <w:t>未</w:t>
            </w:r>
            <w:r>
              <w:rPr>
                <w:rFonts w:hint="eastAsia" w:ascii="宋体" w:hAnsi="宋体" w:cs="宋体"/>
                <w:color w:val="auto"/>
                <w:sz w:val="24"/>
                <w:szCs w:val="24"/>
                <w:highlight w:val="none"/>
                <w:lang w:val="zh-CN"/>
              </w:rPr>
              <w:t>按照第4.</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款要求密封和标识的，其投标文件</w:t>
            </w:r>
            <w:r>
              <w:rPr>
                <w:rFonts w:hint="eastAsia" w:ascii="宋体" w:hAnsi="宋体" w:cs="宋体"/>
                <w:color w:val="auto"/>
                <w:sz w:val="24"/>
                <w:szCs w:val="24"/>
                <w:highlight w:val="none"/>
              </w:rPr>
              <w:t>不予启封，并退还给投标人；</w:t>
            </w:r>
          </w:p>
          <w:p w14:paraId="5FB8C1B5">
            <w:pPr>
              <w:pStyle w:val="8"/>
              <w:adjustRightInd w:val="0"/>
              <w:snapToGrid w:val="0"/>
              <w:spacing w:after="0"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（4）至投标截止时间，投标人数不足</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家的不得开标，招标人将投标文件退还投标人。</w:t>
            </w:r>
          </w:p>
          <w:p w14:paraId="4DEC2C6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2.投标文件有下列情形之一的，视为拒收：</w:t>
            </w:r>
          </w:p>
          <w:p w14:paraId="7870114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（1）投标文件份数不满足要求的；</w:t>
            </w:r>
          </w:p>
          <w:p w14:paraId="7E52E066">
            <w:pPr>
              <w:rPr>
                <w:rFonts w:ascii="宋体" w:hAnsi="宋体" w:eastAsia="宋体" w:cs="宋体"/>
                <w:color w:val="auto"/>
                <w:sz w:val="24"/>
                <w:highlight w:val="none"/>
              </w:rPr>
            </w:pPr>
            <w:r>
              <w:rPr>
                <w:rFonts w:hint="eastAsia" w:ascii="宋体" w:hAnsi="宋体" w:eastAsia="宋体" w:cs="宋体"/>
                <w:color w:val="auto"/>
                <w:sz w:val="24"/>
                <w:highlight w:val="none"/>
              </w:rPr>
              <w:t>（2）纸质投标文件不符合装订要求的。</w:t>
            </w:r>
          </w:p>
          <w:p w14:paraId="4C779793">
            <w:pPr>
              <w:rPr>
                <w:rFonts w:ascii="宋体" w:hAnsi="宋体" w:eastAsia="宋体" w:cs="宋体"/>
                <w:color w:val="auto"/>
                <w:sz w:val="24"/>
                <w:highlight w:val="none"/>
              </w:rPr>
            </w:pPr>
            <w:r>
              <w:rPr>
                <w:rFonts w:hint="eastAsia" w:ascii="宋体" w:hAnsi="宋体" w:eastAsia="宋体" w:cs="宋体"/>
                <w:color w:val="auto"/>
                <w:sz w:val="24"/>
                <w:highlight w:val="none"/>
              </w:rPr>
              <w:t>3.开标后不退还投标文件</w:t>
            </w:r>
          </w:p>
        </w:tc>
      </w:tr>
      <w:tr w14:paraId="35974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1002" w:type="dxa"/>
            <w:vAlign w:val="center"/>
          </w:tcPr>
          <w:p w14:paraId="21156D5F">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6.1.1</w:t>
            </w:r>
          </w:p>
        </w:tc>
        <w:tc>
          <w:tcPr>
            <w:tcW w:w="1911" w:type="dxa"/>
            <w:vAlign w:val="center"/>
          </w:tcPr>
          <w:p w14:paraId="4E1193ED">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评标委员会的组建</w:t>
            </w:r>
          </w:p>
        </w:tc>
        <w:tc>
          <w:tcPr>
            <w:tcW w:w="6255" w:type="dxa"/>
            <w:vAlign w:val="center"/>
          </w:tcPr>
          <w:p w14:paraId="1364D0B4">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评标委员会由招标人依法组建，评标委员会由</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人</w:t>
            </w:r>
            <w:bookmarkStart w:id="112" w:name="_GoBack"/>
            <w:bookmarkEnd w:id="112"/>
            <w:r>
              <w:rPr>
                <w:rFonts w:hint="eastAsia" w:ascii="宋体" w:hAnsi="宋体" w:eastAsia="宋体" w:cs="宋体"/>
                <w:color w:val="auto"/>
                <w:sz w:val="24"/>
                <w:highlight w:val="none"/>
              </w:rPr>
              <w:t>及以上单数组成，其中招标人代表不超过三分之一。</w:t>
            </w:r>
          </w:p>
          <w:p w14:paraId="1DA7488F">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评标委员会组成方式：由招标人代表和有关技术、经济方面的专家组成。</w:t>
            </w:r>
          </w:p>
        </w:tc>
      </w:tr>
      <w:tr w14:paraId="1EFE0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89DC420">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6.3.2</w:t>
            </w:r>
          </w:p>
        </w:tc>
        <w:tc>
          <w:tcPr>
            <w:tcW w:w="1911" w:type="dxa"/>
            <w:vAlign w:val="center"/>
          </w:tcPr>
          <w:p w14:paraId="2779BB92">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评标办法</w:t>
            </w:r>
          </w:p>
          <w:p w14:paraId="041D8F82">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及否决投标条款</w:t>
            </w:r>
          </w:p>
        </w:tc>
        <w:tc>
          <w:tcPr>
            <w:tcW w:w="6255" w:type="dxa"/>
            <w:vAlign w:val="center"/>
          </w:tcPr>
          <w:p w14:paraId="7D171BEE">
            <w:pPr>
              <w:autoSpaceDE w:val="0"/>
              <w:autoSpaceDN w:val="0"/>
              <w:adjustRightInd w:val="0"/>
              <w:snapToGrid w:val="0"/>
              <w:spacing w:line="360" w:lineRule="exact"/>
              <w:rPr>
                <w:rFonts w:ascii="宋体" w:hAnsi="宋体" w:eastAsia="宋体" w:cs="宋体"/>
                <w:color w:val="auto"/>
                <w:sz w:val="24"/>
                <w:highlight w:val="none"/>
              </w:rPr>
            </w:pPr>
            <w:r>
              <w:rPr>
                <w:rFonts w:hint="eastAsia" w:ascii="宋体" w:hAnsi="宋体" w:eastAsia="宋体" w:cs="宋体"/>
                <w:snapToGrid w:val="0"/>
                <w:color w:val="auto"/>
                <w:sz w:val="24"/>
                <w:highlight w:val="none"/>
              </w:rPr>
              <w:t>☑</w:t>
            </w:r>
            <w:r>
              <w:rPr>
                <w:rFonts w:hint="eastAsia" w:ascii="宋体" w:hAnsi="宋体" w:eastAsia="宋体" w:cs="宋体"/>
                <w:color w:val="auto"/>
                <w:sz w:val="24"/>
                <w:highlight w:val="none"/>
              </w:rPr>
              <w:t>经评审最低价法</w:t>
            </w:r>
          </w:p>
          <w:p w14:paraId="7A977204">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否决投标条款：详见招标文件第四章“评标办法及评价标准”。</w:t>
            </w:r>
          </w:p>
        </w:tc>
      </w:tr>
      <w:tr w14:paraId="25AAEE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13604474">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6.3.3</w:t>
            </w:r>
          </w:p>
        </w:tc>
        <w:tc>
          <w:tcPr>
            <w:tcW w:w="1911" w:type="dxa"/>
            <w:vAlign w:val="center"/>
          </w:tcPr>
          <w:p w14:paraId="6F2EC0FF">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评标委员会推荐中标候选人的数量</w:t>
            </w:r>
          </w:p>
        </w:tc>
        <w:tc>
          <w:tcPr>
            <w:tcW w:w="6255" w:type="dxa"/>
            <w:vAlign w:val="center"/>
          </w:tcPr>
          <w:p w14:paraId="6FAEF2F1">
            <w:pPr>
              <w:autoSpaceDE w:val="0"/>
              <w:autoSpaceDN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u w:val="single"/>
              </w:rPr>
              <w:t>1个</w:t>
            </w:r>
            <w:r>
              <w:rPr>
                <w:rFonts w:hint="eastAsia" w:ascii="宋体" w:hAnsi="宋体" w:eastAsia="宋体" w:cs="宋体"/>
                <w:snapToGrid w:val="0"/>
                <w:color w:val="auto"/>
                <w:sz w:val="24"/>
                <w:highlight w:val="none"/>
              </w:rPr>
              <w:t>（一般为1~3个）</w:t>
            </w:r>
            <w:r>
              <w:rPr>
                <w:rFonts w:hint="eastAsia" w:ascii="宋体" w:hAnsi="宋体" w:eastAsia="宋体" w:cs="宋体"/>
                <w:color w:val="auto"/>
                <w:sz w:val="24"/>
                <w:highlight w:val="none"/>
              </w:rPr>
              <w:t>。</w:t>
            </w:r>
          </w:p>
        </w:tc>
      </w:tr>
      <w:tr w14:paraId="0A4EA1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02" w:type="dxa"/>
            <w:vAlign w:val="center"/>
          </w:tcPr>
          <w:p w14:paraId="298F7451">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8.2.1</w:t>
            </w:r>
          </w:p>
        </w:tc>
        <w:tc>
          <w:tcPr>
            <w:tcW w:w="1911" w:type="dxa"/>
            <w:vAlign w:val="center"/>
          </w:tcPr>
          <w:p w14:paraId="7F6E0503">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履约保证金</w:t>
            </w:r>
          </w:p>
        </w:tc>
        <w:tc>
          <w:tcPr>
            <w:tcW w:w="6255" w:type="dxa"/>
            <w:vAlign w:val="center"/>
          </w:tcPr>
          <w:p w14:paraId="3AC35022">
            <w:pPr>
              <w:pStyle w:val="46"/>
              <w:snapToGrid w:val="0"/>
              <w:spacing w:line="32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是否要求中标人缴纳履约保证金：</w:t>
            </w:r>
          </w:p>
          <w:p w14:paraId="71E5EE8F">
            <w:pPr>
              <w:pStyle w:val="46"/>
              <w:snapToGrid w:val="0"/>
              <w:spacing w:line="320" w:lineRule="exact"/>
              <w:ind w:right="64" w:rightChars="20"/>
              <w:jc w:val="both"/>
              <w:rPr>
                <w:snapToGrid w:val="0"/>
                <w:color w:val="auto"/>
                <w:sz w:val="24"/>
                <w:szCs w:val="24"/>
                <w:highlight w:val="none"/>
                <w:lang w:eastAsia="zh-CN"/>
              </w:rPr>
            </w:pPr>
            <w:r>
              <w:rPr>
                <w:rFonts w:hint="eastAsia"/>
                <w:snapToGrid w:val="0"/>
                <w:color w:val="auto"/>
                <w:sz w:val="24"/>
                <w:szCs w:val="24"/>
                <w:highlight w:val="none"/>
                <w:lang w:eastAsia="zh-CN"/>
              </w:rPr>
              <w:t xml:space="preserve">□ </w:t>
            </w:r>
            <w:r>
              <w:rPr>
                <w:rFonts w:hint="eastAsia"/>
                <w:snapToGrid w:val="0"/>
                <w:color w:val="auto"/>
                <w:sz w:val="24"/>
                <w:szCs w:val="24"/>
                <w:highlight w:val="none"/>
              </w:rPr>
              <w:t>不</w:t>
            </w:r>
            <w:r>
              <w:rPr>
                <w:rFonts w:hint="eastAsia"/>
                <w:snapToGrid w:val="0"/>
                <w:color w:val="auto"/>
                <w:sz w:val="24"/>
                <w:szCs w:val="24"/>
                <w:highlight w:val="none"/>
                <w:lang w:eastAsia="zh-CN"/>
              </w:rPr>
              <w:t>要求</w:t>
            </w:r>
          </w:p>
          <w:p w14:paraId="1CFDC55C">
            <w:pPr>
              <w:pStyle w:val="46"/>
              <w:snapToGrid w:val="0"/>
              <w:spacing w:line="320" w:lineRule="exact"/>
              <w:ind w:right="64" w:rightChars="20"/>
              <w:jc w:val="both"/>
              <w:rPr>
                <w:snapToGrid w:val="0"/>
                <w:color w:val="auto"/>
                <w:sz w:val="24"/>
                <w:szCs w:val="24"/>
                <w:highlight w:val="none"/>
                <w:lang w:eastAsia="zh-CN"/>
              </w:rPr>
            </w:pPr>
            <w:r>
              <w:rPr>
                <w:rFonts w:hint="eastAsia"/>
                <w:color w:val="auto"/>
                <w:sz w:val="24"/>
                <w:szCs w:val="24"/>
                <w:highlight w:val="none"/>
                <w:lang w:eastAsia="zh-CN"/>
              </w:rPr>
              <w:t xml:space="preserve">☑ </w:t>
            </w:r>
            <w:r>
              <w:rPr>
                <w:rFonts w:hint="eastAsia"/>
                <w:snapToGrid w:val="0"/>
                <w:color w:val="auto"/>
                <w:sz w:val="24"/>
                <w:szCs w:val="24"/>
                <w:highlight w:val="none"/>
              </w:rPr>
              <w:t>要求</w:t>
            </w:r>
            <w:r>
              <w:rPr>
                <w:rFonts w:hint="eastAsia"/>
                <w:snapToGrid w:val="0"/>
                <w:color w:val="auto"/>
                <w:sz w:val="24"/>
                <w:szCs w:val="24"/>
                <w:highlight w:val="none"/>
                <w:lang w:eastAsia="zh-CN"/>
              </w:rPr>
              <w:t>，具体如下</w:t>
            </w:r>
          </w:p>
          <w:p w14:paraId="4E8912FE">
            <w:pPr>
              <w:pStyle w:val="47"/>
              <w:snapToGrid w:val="0"/>
              <w:spacing w:after="0" w:line="320" w:lineRule="exact"/>
              <w:jc w:val="left"/>
              <w:rPr>
                <w:rFonts w:ascii="宋体" w:hAnsi="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rPr>
              <w:t>1、履约保证金缴纳信息：金额：</w:t>
            </w:r>
            <w:r>
              <w:rPr>
                <w:rFonts w:hint="eastAsia" w:ascii="宋体" w:hAnsi="宋体" w:cs="宋体"/>
                <w:b w:val="0"/>
                <w:bCs w:val="0"/>
                <w:color w:val="auto"/>
                <w:kern w:val="2"/>
                <w:sz w:val="24"/>
                <w:szCs w:val="24"/>
                <w:highlight w:val="none"/>
                <w:u w:val="single"/>
                <w:lang w:val="en-US"/>
              </w:rPr>
              <w:t>合同价的5%</w:t>
            </w:r>
          </w:p>
          <w:p w14:paraId="7BAA796E">
            <w:pPr>
              <w:pStyle w:val="47"/>
              <w:snapToGrid w:val="0"/>
              <w:spacing w:after="0" w:line="320" w:lineRule="exact"/>
              <w:jc w:val="left"/>
              <w:rPr>
                <w:rFonts w:ascii="宋体" w:hAnsi="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rPr>
              <w:t>收款单位（户名）：杭州天子岭发电有限公司</w:t>
            </w:r>
          </w:p>
          <w:p w14:paraId="56016506">
            <w:pPr>
              <w:pStyle w:val="47"/>
              <w:snapToGrid w:val="0"/>
              <w:spacing w:after="0" w:line="320" w:lineRule="exact"/>
              <w:jc w:val="left"/>
              <w:rPr>
                <w:rFonts w:ascii="宋体" w:hAnsi="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rPr>
              <w:t>账号：8110801012300788839</w:t>
            </w:r>
          </w:p>
          <w:p w14:paraId="0E8D7EF5">
            <w:pPr>
              <w:pStyle w:val="47"/>
              <w:snapToGrid w:val="0"/>
              <w:spacing w:after="0" w:line="320" w:lineRule="exact"/>
              <w:jc w:val="left"/>
              <w:rPr>
                <w:rFonts w:ascii="宋体" w:hAnsi="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rPr>
              <w:t>开户行：中信银行杭州分行</w:t>
            </w:r>
          </w:p>
          <w:p w14:paraId="654C466F">
            <w:pPr>
              <w:pStyle w:val="47"/>
              <w:snapToGrid w:val="0"/>
              <w:spacing w:after="0" w:line="320" w:lineRule="exact"/>
              <w:jc w:val="left"/>
              <w:rPr>
                <w:rFonts w:ascii="宋体" w:hAnsi="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rPr>
              <w:t>缴纳形式：支票/汇票/电汇/转账。</w:t>
            </w:r>
          </w:p>
          <w:p w14:paraId="3A36EA77">
            <w:pPr>
              <w:spacing w:line="32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缴纳时间：中标通知书领取之后，合同签订之前。</w:t>
            </w:r>
          </w:p>
          <w:p w14:paraId="67CD9E69">
            <w:pPr>
              <w:pStyle w:val="9"/>
              <w:ind w:firstLine="0" w:firstLineChars="0"/>
              <w:rPr>
                <w:rFonts w:ascii="宋体" w:hAnsi="宋体" w:cs="宋体"/>
                <w:color w:val="auto"/>
                <w:kern w:val="2"/>
                <w:sz w:val="24"/>
                <w:szCs w:val="24"/>
                <w:highlight w:val="none"/>
              </w:rPr>
            </w:pPr>
            <w:r>
              <w:rPr>
                <w:rFonts w:hint="eastAsia" w:ascii="宋体" w:hAnsi="宋体" w:cs="宋体"/>
                <w:color w:val="auto"/>
                <w:kern w:val="2"/>
                <w:sz w:val="24"/>
                <w:szCs w:val="24"/>
                <w:highlight w:val="none"/>
              </w:rPr>
              <w:t>退还时间：履约保证金在合同履行结束且质保期限届满，并扣除乙方违约金额（如有），经乙方申请后1个月内无息退还余额，但发生本合同约定的甲方有权不予退还履约保证金的情形除外。</w:t>
            </w:r>
          </w:p>
          <w:p w14:paraId="56431169">
            <w:pPr>
              <w:pStyle w:val="47"/>
              <w:snapToGrid w:val="0"/>
              <w:spacing w:after="0" w:line="320" w:lineRule="exact"/>
              <w:jc w:val="left"/>
              <w:rPr>
                <w:rFonts w:ascii="宋体" w:hAnsi="宋体" w:cs="宋体"/>
                <w:b w:val="0"/>
                <w:bCs w:val="0"/>
                <w:color w:val="auto"/>
                <w:kern w:val="2"/>
                <w:sz w:val="24"/>
                <w:szCs w:val="24"/>
                <w:highlight w:val="none"/>
                <w:lang w:val="en-US"/>
              </w:rPr>
            </w:pPr>
            <w:r>
              <w:rPr>
                <w:rFonts w:hint="eastAsia" w:ascii="宋体" w:hAnsi="宋体" w:cs="宋体"/>
                <w:b w:val="0"/>
                <w:bCs w:val="0"/>
                <w:color w:val="auto"/>
                <w:kern w:val="2"/>
                <w:sz w:val="24"/>
                <w:szCs w:val="24"/>
                <w:highlight w:val="none"/>
                <w:lang w:val="en-US"/>
              </w:rPr>
              <w:t>2、其他说明：</w:t>
            </w:r>
          </w:p>
          <w:p w14:paraId="65FFDF3B">
            <w:pPr>
              <w:autoSpaceDE w:val="0"/>
              <w:autoSpaceDN w:val="0"/>
              <w:adjustRightInd w:val="0"/>
              <w:snapToGrid w:val="0"/>
              <w:spacing w:line="320" w:lineRule="exact"/>
              <w:jc w:val="lef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投标人在履约保证金缴纳时必须注明项目名称和招标编号。</w:t>
            </w:r>
          </w:p>
          <w:p w14:paraId="2423BE77">
            <w:pPr>
              <w:autoSpaceDE w:val="0"/>
              <w:autoSpaceDN w:val="0"/>
              <w:adjustRightInd w:val="0"/>
              <w:snapToGrid w:val="0"/>
              <w:spacing w:line="320" w:lineRule="exact"/>
              <w:jc w:val="lef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人应将履约保证金的汇款或转账凭证在收到中标通知书后，合同签订前提交招标人。如超出期限未缴纳的，招标人将视其拒绝履行投标承诺，招标人有权单方取消其中标资格，并罚没其投标保证金。招标人还有权将其列入供应商不良行为记录名单（即黑名单），取消其被列入名单后二年内在招标人及其下属全资、控股企业的任何招标或采购中的供应商资格。</w:t>
            </w:r>
          </w:p>
        </w:tc>
      </w:tr>
      <w:tr w14:paraId="40351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 w:type="dxa"/>
            <w:vAlign w:val="center"/>
          </w:tcPr>
          <w:p w14:paraId="059706F8">
            <w:pPr>
              <w:autoSpaceDE w:val="0"/>
              <w:autoSpaceDN w:val="0"/>
              <w:adjustRightInd w:val="0"/>
              <w:snapToGrid w:val="0"/>
              <w:spacing w:line="400" w:lineRule="exact"/>
              <w:jc w:val="center"/>
              <w:rPr>
                <w:rFonts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11.1</w:t>
            </w:r>
          </w:p>
        </w:tc>
        <w:tc>
          <w:tcPr>
            <w:tcW w:w="8166" w:type="dxa"/>
            <w:gridSpan w:val="2"/>
            <w:vAlign w:val="center"/>
          </w:tcPr>
          <w:p w14:paraId="0DF30C8C">
            <w:pPr>
              <w:autoSpaceDE w:val="0"/>
              <w:autoSpaceDN w:val="0"/>
              <w:adjustRightInd w:val="0"/>
              <w:snapToGrid w:val="0"/>
              <w:spacing w:line="400" w:lineRule="exact"/>
              <w:jc w:val="center"/>
              <w:rPr>
                <w:rFonts w:ascii="宋体" w:hAnsi="宋体" w:eastAsia="宋体" w:cs="宋体"/>
                <w:b/>
                <w:snapToGrid w:val="0"/>
                <w:color w:val="auto"/>
                <w:kern w:val="0"/>
                <w:sz w:val="24"/>
                <w:highlight w:val="none"/>
              </w:rPr>
            </w:pPr>
            <w:r>
              <w:rPr>
                <w:rFonts w:hint="eastAsia" w:ascii="宋体" w:hAnsi="宋体" w:eastAsia="宋体" w:cs="宋体"/>
                <w:b/>
                <w:snapToGrid w:val="0"/>
                <w:color w:val="auto"/>
                <w:kern w:val="0"/>
                <w:sz w:val="24"/>
                <w:highlight w:val="none"/>
              </w:rPr>
              <w:t>需要补充的其他内容</w:t>
            </w:r>
          </w:p>
        </w:tc>
      </w:tr>
      <w:tr w14:paraId="4D990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02" w:type="dxa"/>
            <w:vAlign w:val="center"/>
          </w:tcPr>
          <w:p w14:paraId="4EB4CD16">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11.1.1</w:t>
            </w:r>
          </w:p>
        </w:tc>
        <w:tc>
          <w:tcPr>
            <w:tcW w:w="1911" w:type="dxa"/>
            <w:vAlign w:val="center"/>
          </w:tcPr>
          <w:p w14:paraId="092C9817">
            <w:pPr>
              <w:autoSpaceDE w:val="0"/>
              <w:autoSpaceDN w:val="0"/>
              <w:adjustRightInd w:val="0"/>
              <w:snapToGrid w:val="0"/>
              <w:spacing w:line="400" w:lineRule="exact"/>
              <w:jc w:val="center"/>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备注</w:t>
            </w:r>
          </w:p>
        </w:tc>
        <w:tc>
          <w:tcPr>
            <w:tcW w:w="6255" w:type="dxa"/>
            <w:vAlign w:val="center"/>
          </w:tcPr>
          <w:p w14:paraId="0ED36EB2">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本招标文件由招标人负责解释。</w:t>
            </w:r>
          </w:p>
          <w:p w14:paraId="604A48F3">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投标人须知内容和本前附表内容不一致的，以本前附表中所载内容为准。</w:t>
            </w:r>
          </w:p>
          <w:p w14:paraId="1CDD8B84">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3）如发现招标文件及其评标办法中存在含糊不清、相互矛盾、多种含义以及歧视性不公正条款或违法违规内容时，请在投标人须知2.3.1项规定的提出问题截止时间前同时向招标人或招标代理机构以指定的书面形式反映，逾期不再受理对招标文件条款提出的问题。</w:t>
            </w:r>
          </w:p>
          <w:p w14:paraId="7A3DF661">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（4）招标文件中打▲符号的条款为实质性条款，不满足的按无效标处理。</w:t>
            </w:r>
          </w:p>
          <w:p w14:paraId="3621E69E">
            <w:pPr>
              <w:autoSpaceDE w:val="0"/>
              <w:autoSpaceDN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（5）招标人认为需要补充的其他内容：/</w:t>
            </w:r>
          </w:p>
        </w:tc>
      </w:tr>
    </w:tbl>
    <w:p w14:paraId="039A24CE">
      <w:pPr>
        <w:rPr>
          <w:rFonts w:ascii="宋体" w:hAnsi="宋体" w:eastAsia="宋体" w:cs="宋体"/>
          <w:b/>
          <w:color w:val="auto"/>
          <w:sz w:val="28"/>
          <w:szCs w:val="28"/>
          <w:highlight w:val="none"/>
        </w:rPr>
      </w:pPr>
    </w:p>
    <w:p w14:paraId="4B829694">
      <w:pPr>
        <w:pStyle w:val="2"/>
        <w:rPr>
          <w:rFonts w:ascii="宋体" w:hAnsi="宋体" w:cs="宋体"/>
          <w:b/>
          <w:color w:val="auto"/>
          <w:sz w:val="28"/>
          <w:szCs w:val="28"/>
          <w:highlight w:val="none"/>
        </w:rPr>
      </w:pPr>
    </w:p>
    <w:p w14:paraId="6BD777E4">
      <w:pPr>
        <w:jc w:val="left"/>
        <w:rPr>
          <w:rStyle w:val="43"/>
          <w:rFonts w:ascii="宋体" w:hAnsi="宋体" w:cs="宋体"/>
          <w:color w:val="auto"/>
          <w:kern w:val="0"/>
          <w:szCs w:val="20"/>
          <w:highlight w:val="none"/>
        </w:rPr>
      </w:pPr>
      <w:r>
        <w:rPr>
          <w:rStyle w:val="43"/>
          <w:rFonts w:hint="eastAsia" w:ascii="宋体" w:hAnsi="宋体" w:cs="宋体"/>
          <w:color w:val="auto"/>
          <w:kern w:val="0"/>
          <w:szCs w:val="20"/>
          <w:highlight w:val="none"/>
        </w:rPr>
        <w:br w:type="page"/>
      </w:r>
    </w:p>
    <w:p w14:paraId="441F54A6">
      <w:pPr>
        <w:snapToGrid w:val="0"/>
        <w:spacing w:line="360" w:lineRule="auto"/>
        <w:jc w:val="center"/>
        <w:outlineLvl w:val="1"/>
        <w:rPr>
          <w:rFonts w:ascii="宋体" w:hAnsi="宋体" w:eastAsia="宋体" w:cs="宋体"/>
          <w:b/>
          <w:snapToGrid w:val="0"/>
          <w:color w:val="auto"/>
          <w:kern w:val="0"/>
          <w:sz w:val="24"/>
          <w:highlight w:val="none"/>
        </w:rPr>
      </w:pPr>
      <w:bookmarkStart w:id="4" w:name="_Toc32085"/>
      <w:bookmarkStart w:id="5" w:name="_Toc83886015"/>
      <w:r>
        <w:rPr>
          <w:rFonts w:hint="eastAsia" w:ascii="宋体" w:hAnsi="宋体" w:eastAsia="宋体" w:cs="宋体"/>
          <w:b/>
          <w:snapToGrid w:val="0"/>
          <w:color w:val="auto"/>
          <w:kern w:val="0"/>
          <w:sz w:val="24"/>
          <w:highlight w:val="none"/>
        </w:rPr>
        <w:t>1、总则</w:t>
      </w:r>
      <w:bookmarkEnd w:id="4"/>
      <w:bookmarkEnd w:id="5"/>
    </w:p>
    <w:p w14:paraId="00FF30A9">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6" w:name="_Toc26216"/>
      <w:r>
        <w:rPr>
          <w:rFonts w:hint="eastAsia" w:ascii="宋体" w:hAnsi="宋体" w:eastAsia="宋体" w:cs="宋体"/>
          <w:b/>
          <w:bCs/>
          <w:snapToGrid w:val="0"/>
          <w:color w:val="auto"/>
          <w:kern w:val="0"/>
          <w:sz w:val="24"/>
          <w:highlight w:val="none"/>
        </w:rPr>
        <w:t>1.1项目</w:t>
      </w:r>
      <w:bookmarkEnd w:id="6"/>
      <w:r>
        <w:rPr>
          <w:rFonts w:hint="eastAsia" w:ascii="宋体" w:hAnsi="宋体" w:eastAsia="宋体" w:cs="宋体"/>
          <w:b/>
          <w:bCs/>
          <w:snapToGrid w:val="0"/>
          <w:color w:val="auto"/>
          <w:kern w:val="0"/>
          <w:sz w:val="24"/>
          <w:highlight w:val="none"/>
        </w:rPr>
        <w:t>说明</w:t>
      </w:r>
    </w:p>
    <w:p w14:paraId="58FA7A64">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u w:val="single"/>
        </w:rPr>
      </w:pPr>
      <w:bookmarkStart w:id="7" w:name="_Toc6246"/>
      <w:r>
        <w:rPr>
          <w:rFonts w:hint="eastAsia" w:ascii="宋体" w:hAnsi="宋体" w:cs="宋体"/>
          <w:snapToGrid w:val="0"/>
          <w:color w:val="auto"/>
          <w:kern w:val="0"/>
          <w:sz w:val="24"/>
          <w:szCs w:val="24"/>
          <w:highlight w:val="none"/>
        </w:rPr>
        <w:t>1.1.1本项目招标适用以下规定：《中华人民共和国招标投标法》、《中华人民共和国招标投标法实施条例》。</w:t>
      </w:r>
    </w:p>
    <w:bookmarkEnd w:id="7"/>
    <w:p w14:paraId="1C36349C">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u w:val="single"/>
        </w:rPr>
      </w:pPr>
      <w:bookmarkStart w:id="8" w:name="_Toc9136"/>
      <w:r>
        <w:rPr>
          <w:rFonts w:hint="eastAsia" w:ascii="宋体" w:hAnsi="宋体" w:cs="宋体"/>
          <w:snapToGrid w:val="0"/>
          <w:color w:val="auto"/>
          <w:kern w:val="0"/>
          <w:sz w:val="24"/>
          <w:szCs w:val="24"/>
          <w:highlight w:val="none"/>
        </w:rPr>
        <w:t>1.1.2招标组织形式：见投标人须知前附表。</w:t>
      </w:r>
    </w:p>
    <w:p w14:paraId="668D0149">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1.1.3招标人：提出招标项目、进行招标的法人或者其他组织。见投标人须知前附表。</w:t>
      </w:r>
    </w:p>
    <w:p w14:paraId="4A774BB3">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1.1.4采购人：即业主，是合同中明确规定的实际购买货物和服务的法人或其他组织和自然人。见投标人须知前附表。</w:t>
      </w:r>
    </w:p>
    <w:p w14:paraId="5D9FE75F">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1.1.5招标代理机构：见投标人须知前附表。</w:t>
      </w:r>
    </w:p>
    <w:p w14:paraId="5A7BFD14">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1.1.6项目概况：见投标人须知前附表。</w:t>
      </w:r>
    </w:p>
    <w:p w14:paraId="61A8D2BD">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1.2资金来源</w:t>
      </w:r>
      <w:bookmarkEnd w:id="8"/>
      <w:r>
        <w:rPr>
          <w:rFonts w:hint="eastAsia" w:ascii="宋体" w:hAnsi="宋体" w:eastAsia="宋体" w:cs="宋体"/>
          <w:b/>
          <w:bCs/>
          <w:snapToGrid w:val="0"/>
          <w:color w:val="auto"/>
          <w:kern w:val="0"/>
          <w:sz w:val="24"/>
          <w:highlight w:val="none"/>
        </w:rPr>
        <w:t>和落实情况</w:t>
      </w:r>
    </w:p>
    <w:p w14:paraId="24A97AC6">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bookmarkStart w:id="9" w:name="_Toc10673"/>
      <w:r>
        <w:rPr>
          <w:rFonts w:hint="eastAsia" w:ascii="宋体" w:hAnsi="宋体" w:cs="宋体"/>
          <w:snapToGrid w:val="0"/>
          <w:color w:val="auto"/>
          <w:kern w:val="0"/>
          <w:sz w:val="24"/>
          <w:szCs w:val="24"/>
          <w:highlight w:val="none"/>
        </w:rPr>
        <w:t>1.2.1资金来源及落实情况：见投标人须知前附表。</w:t>
      </w:r>
    </w:p>
    <w:p w14:paraId="14D7B6CE">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1.3招标范围及内容</w:t>
      </w:r>
    </w:p>
    <w:p w14:paraId="328CAB25">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1.3.1招标范围及内容：见投标人须知前附表。</w:t>
      </w:r>
    </w:p>
    <w:bookmarkEnd w:id="9"/>
    <w:p w14:paraId="598E67A8">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10" w:name="_Toc13012"/>
      <w:r>
        <w:rPr>
          <w:rFonts w:hint="eastAsia" w:ascii="宋体" w:hAnsi="宋体" w:eastAsia="宋体" w:cs="宋体"/>
          <w:b/>
          <w:bCs/>
          <w:snapToGrid w:val="0"/>
          <w:color w:val="auto"/>
          <w:kern w:val="0"/>
          <w:sz w:val="24"/>
          <w:highlight w:val="none"/>
        </w:rPr>
        <w:t>1.4投标人</w:t>
      </w:r>
      <w:bookmarkEnd w:id="10"/>
      <w:r>
        <w:rPr>
          <w:rFonts w:hint="eastAsia" w:ascii="宋体" w:hAnsi="宋体" w:eastAsia="宋体" w:cs="宋体"/>
          <w:b/>
          <w:bCs/>
          <w:snapToGrid w:val="0"/>
          <w:color w:val="auto"/>
          <w:kern w:val="0"/>
          <w:sz w:val="24"/>
          <w:highlight w:val="none"/>
        </w:rPr>
        <w:t>资格审查方式、资格条件</w:t>
      </w:r>
    </w:p>
    <w:p w14:paraId="472B813B">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1.4.1投标人资格审查方式：见投标人须知前附表。</w:t>
      </w:r>
    </w:p>
    <w:p w14:paraId="6B098F2B">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1.4.2投标人资格条件：见投标人须知前附表。</w:t>
      </w:r>
    </w:p>
    <w:p w14:paraId="68C6638C">
      <w:pPr>
        <w:adjustRightInd w:val="0"/>
        <w:snapToGrid w:val="0"/>
        <w:spacing w:line="360" w:lineRule="auto"/>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1.5联合体投标</w:t>
      </w:r>
    </w:p>
    <w:p w14:paraId="1DE5E6AD">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1.5.1本项目是否接受联合体投标：见投标人须知前附表。</w:t>
      </w:r>
    </w:p>
    <w:p w14:paraId="17CF3525">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1.5.2投标人须知前附表规定接受联合体投标的，联合体应满足以下要求：</w:t>
      </w:r>
    </w:p>
    <w:p w14:paraId="03368C0F">
      <w:pPr>
        <w:pStyle w:val="21"/>
        <w:adjustRightInd w:val="0"/>
        <w:snapToGrid w:val="0"/>
        <w:spacing w:before="0" w:beforeAutospacing="0" w:after="0" w:afterAutospacing="0" w:line="360" w:lineRule="auto"/>
        <w:ind w:left="160" w:leftChars="50" w:firstLine="360" w:firstLineChars="150"/>
        <w:rPr>
          <w:rFonts w:cs="宋体"/>
          <w:color w:val="auto"/>
          <w:kern w:val="2"/>
          <w:highlight w:val="none"/>
        </w:rPr>
      </w:pPr>
      <w:r>
        <w:rPr>
          <w:rFonts w:hint="eastAsia" w:cs="宋体"/>
          <w:color w:val="auto"/>
          <w:kern w:val="2"/>
          <w:highlight w:val="none"/>
        </w:rPr>
        <w:t>1）符合《中华人民共和国招标投标法》、《中华人民共和国招标投标法实施条例》的规定；</w:t>
      </w:r>
    </w:p>
    <w:p w14:paraId="5EA7D717">
      <w:pPr>
        <w:pStyle w:val="21"/>
        <w:adjustRightInd w:val="0"/>
        <w:snapToGrid w:val="0"/>
        <w:spacing w:before="0" w:beforeAutospacing="0" w:after="0" w:afterAutospacing="0" w:line="360" w:lineRule="auto"/>
        <w:ind w:left="160" w:leftChars="50" w:firstLine="360" w:firstLineChars="150"/>
        <w:rPr>
          <w:rFonts w:cs="宋体"/>
          <w:color w:val="auto"/>
          <w:kern w:val="2"/>
          <w:highlight w:val="none"/>
        </w:rPr>
      </w:pPr>
      <w:r>
        <w:rPr>
          <w:rFonts w:hint="eastAsia" w:cs="宋体"/>
          <w:color w:val="auto"/>
          <w:kern w:val="2"/>
          <w:highlight w:val="none"/>
        </w:rPr>
        <w:t>2）以联合体形式参加投标的，应当提交联合体协议，指定牵头人并出具由联合体成员各方共同签署的投标授权书；</w:t>
      </w:r>
    </w:p>
    <w:p w14:paraId="67F37DAC">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3）除非另有规定或说明，本招标文件中“投标人”一词亦指联合体各成员。</w:t>
      </w:r>
    </w:p>
    <w:p w14:paraId="03292B0C">
      <w:pPr>
        <w:adjustRightInd w:val="0"/>
        <w:snapToGrid w:val="0"/>
        <w:spacing w:line="360" w:lineRule="auto"/>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1.6关联性投标</w:t>
      </w:r>
    </w:p>
    <w:p w14:paraId="5D650CA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1.6.1项目关联性投标要求：见投标人须知前附表。</w:t>
      </w:r>
    </w:p>
    <w:p w14:paraId="08A248D9">
      <w:pPr>
        <w:adjustRightInd w:val="0"/>
        <w:snapToGrid w:val="0"/>
        <w:spacing w:line="360" w:lineRule="auto"/>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1.7分包</w:t>
      </w:r>
    </w:p>
    <w:p w14:paraId="54D15478">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1.7.1本项目是否允许分包：见投标人须知前附表。</w:t>
      </w:r>
    </w:p>
    <w:p w14:paraId="7DA25CCD">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1.7.2投标人拟在中标后将中标项目的非主体、非关键部分工作进行分包的，应满足以下要求：</w:t>
      </w:r>
    </w:p>
    <w:p w14:paraId="58CF232D">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1）符合投标人须知前附表规定的分包内容、分包金额要求，除投标人须知前附表规定的非主体、非关键部分工作外，其他工作不得分包。</w:t>
      </w:r>
    </w:p>
    <w:p w14:paraId="1D85552F">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2）接受分包一方应当具备相应的资格条件，并不得再次分包。中标人应当就分包内容向招标人负责，接受分包一方就分包内容承担连带责任。</w:t>
      </w:r>
    </w:p>
    <w:p w14:paraId="1F21ABC4">
      <w:pPr>
        <w:adjustRightInd w:val="0"/>
        <w:snapToGrid w:val="0"/>
        <w:spacing w:line="360" w:lineRule="auto"/>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1.8响应和偏差</w:t>
      </w:r>
    </w:p>
    <w:p w14:paraId="69C740D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1.8.1投标文件应当对招标文件中的实质性要求和条件（属于实质性要求条款的，是指在第三章“用户需求及技术要求”中用符号“▲”标注或列入第四章“评标方法及评价标准”中否决投标的全部条款，否则属于非实质性要求条款，下同。）作出满足性或更有利于招标人的明确响应。</w:t>
      </w:r>
    </w:p>
    <w:p w14:paraId="1C0E57C3">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1.8.2投标文件对招标文件的全部偏差，均应在投标文件的商务和技术偏离表中列明，除列明的内容外，视为投标人响应招标文件的全部要求。</w:t>
      </w:r>
    </w:p>
    <w:p w14:paraId="6D499267">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1.8.3评标委员会根据招标文件第四章“评标方法及评价标准”全面衡量投标人技术、资信、商务或其他存在不满足、不符合招标要求的偏差及对招标文件的响应情况，以确定其是否满足招标文件的实质性要求。</w:t>
      </w:r>
    </w:p>
    <w:p w14:paraId="3A826CF5">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11" w:name="_Toc3996"/>
      <w:r>
        <w:rPr>
          <w:rFonts w:hint="eastAsia" w:ascii="宋体" w:hAnsi="宋体" w:eastAsia="宋体" w:cs="宋体"/>
          <w:b/>
          <w:bCs/>
          <w:snapToGrid w:val="0"/>
          <w:color w:val="auto"/>
          <w:kern w:val="0"/>
          <w:sz w:val="24"/>
          <w:highlight w:val="none"/>
        </w:rPr>
        <w:t>1.</w:t>
      </w:r>
      <w:bookmarkEnd w:id="11"/>
      <w:r>
        <w:rPr>
          <w:rFonts w:hint="eastAsia" w:ascii="宋体" w:hAnsi="宋体" w:eastAsia="宋体" w:cs="宋体"/>
          <w:b/>
          <w:bCs/>
          <w:snapToGrid w:val="0"/>
          <w:color w:val="auto"/>
          <w:kern w:val="0"/>
          <w:sz w:val="24"/>
          <w:highlight w:val="none"/>
        </w:rPr>
        <w:t>9投标费用</w:t>
      </w:r>
    </w:p>
    <w:p w14:paraId="389AD071">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1.9.1投标人在投标过程中的一切费用，不论中标与否，均由投标人自理。</w:t>
      </w:r>
    </w:p>
    <w:p w14:paraId="263B45EF">
      <w:pPr>
        <w:pStyle w:val="5"/>
        <w:rPr>
          <w:rFonts w:cs="宋体"/>
          <w:snapToGrid w:val="0"/>
          <w:color w:val="auto"/>
          <w:sz w:val="24"/>
          <w:szCs w:val="24"/>
          <w:highlight w:val="none"/>
        </w:rPr>
      </w:pPr>
      <w:bookmarkStart w:id="12" w:name="_Toc246996924"/>
      <w:bookmarkStart w:id="13" w:name="_Toc246996181"/>
      <w:bookmarkStart w:id="14" w:name="_Toc247085695"/>
      <w:bookmarkStart w:id="15" w:name="_Toc152045536"/>
      <w:bookmarkStart w:id="16" w:name="_Toc152042312"/>
      <w:bookmarkStart w:id="17" w:name="_Toc296602426"/>
      <w:bookmarkStart w:id="18" w:name="_Toc179632553"/>
      <w:bookmarkStart w:id="19" w:name="_Toc144974504"/>
      <w:r>
        <w:rPr>
          <w:rFonts w:hint="eastAsia" w:cs="宋体"/>
          <w:snapToGrid w:val="0"/>
          <w:color w:val="auto"/>
          <w:sz w:val="24"/>
          <w:szCs w:val="24"/>
          <w:highlight w:val="none"/>
        </w:rPr>
        <w:t>1.10保密</w:t>
      </w:r>
      <w:bookmarkEnd w:id="12"/>
      <w:bookmarkEnd w:id="13"/>
      <w:bookmarkEnd w:id="14"/>
      <w:bookmarkEnd w:id="15"/>
      <w:bookmarkEnd w:id="16"/>
      <w:bookmarkEnd w:id="17"/>
      <w:bookmarkEnd w:id="18"/>
      <w:bookmarkEnd w:id="19"/>
    </w:p>
    <w:p w14:paraId="4AF6B538">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1.10.1参加招标投标活动的各方应对招投标过程中应当保密的信息资料及招标文件、投标文件中的商业和技术秘密保密，否则应承担相应的法律责任。</w:t>
      </w:r>
    </w:p>
    <w:p w14:paraId="7593058C">
      <w:pPr>
        <w:pStyle w:val="5"/>
        <w:rPr>
          <w:rFonts w:cs="宋体"/>
          <w:snapToGrid w:val="0"/>
          <w:color w:val="auto"/>
          <w:sz w:val="24"/>
          <w:szCs w:val="24"/>
          <w:highlight w:val="none"/>
        </w:rPr>
      </w:pPr>
      <w:r>
        <w:rPr>
          <w:rFonts w:hint="eastAsia" w:cs="宋体"/>
          <w:snapToGrid w:val="0"/>
          <w:color w:val="auto"/>
          <w:sz w:val="24"/>
          <w:szCs w:val="24"/>
          <w:highlight w:val="none"/>
        </w:rPr>
        <w:t>1.11语言文字</w:t>
      </w:r>
    </w:p>
    <w:p w14:paraId="2448D4C1">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1.11.1招标投标文件使用的语言文字为中文。专用术语使用外文的，应附有中文注释。</w:t>
      </w:r>
    </w:p>
    <w:p w14:paraId="1916C48F">
      <w:pPr>
        <w:pStyle w:val="5"/>
        <w:rPr>
          <w:rFonts w:cs="宋体"/>
          <w:snapToGrid w:val="0"/>
          <w:color w:val="auto"/>
          <w:sz w:val="24"/>
          <w:szCs w:val="24"/>
          <w:highlight w:val="none"/>
        </w:rPr>
      </w:pPr>
      <w:bookmarkStart w:id="20" w:name="_bookmark28"/>
      <w:bookmarkEnd w:id="20"/>
      <w:r>
        <w:rPr>
          <w:rFonts w:hint="eastAsia" w:cs="宋体"/>
          <w:snapToGrid w:val="0"/>
          <w:color w:val="auto"/>
          <w:sz w:val="24"/>
          <w:szCs w:val="24"/>
          <w:highlight w:val="none"/>
        </w:rPr>
        <w:t>1.12计量单位</w:t>
      </w:r>
    </w:p>
    <w:p w14:paraId="197F70A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1.12.1所有计量均采用中华人民共和国法定计量单位。</w:t>
      </w:r>
    </w:p>
    <w:p w14:paraId="49107953">
      <w:pPr>
        <w:pStyle w:val="5"/>
        <w:rPr>
          <w:rFonts w:cs="宋体"/>
          <w:snapToGrid w:val="0"/>
          <w:color w:val="auto"/>
          <w:sz w:val="24"/>
          <w:szCs w:val="24"/>
          <w:highlight w:val="none"/>
        </w:rPr>
      </w:pPr>
      <w:r>
        <w:rPr>
          <w:rFonts w:hint="eastAsia" w:cs="宋体"/>
          <w:snapToGrid w:val="0"/>
          <w:color w:val="auto"/>
          <w:sz w:val="24"/>
          <w:szCs w:val="24"/>
          <w:highlight w:val="none"/>
        </w:rPr>
        <w:t>1.13标准时间</w:t>
      </w:r>
    </w:p>
    <w:p w14:paraId="180B3EC5">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1.13.1本招标文件中出现的时间均指北京时间。</w:t>
      </w:r>
    </w:p>
    <w:p w14:paraId="0273C856">
      <w:pPr>
        <w:snapToGrid w:val="0"/>
        <w:spacing w:line="360" w:lineRule="auto"/>
        <w:jc w:val="center"/>
        <w:outlineLvl w:val="1"/>
        <w:rPr>
          <w:rFonts w:ascii="宋体" w:hAnsi="宋体" w:eastAsia="宋体" w:cs="宋体"/>
          <w:b/>
          <w:snapToGrid w:val="0"/>
          <w:color w:val="auto"/>
          <w:kern w:val="0"/>
          <w:sz w:val="24"/>
          <w:highlight w:val="none"/>
        </w:rPr>
      </w:pPr>
      <w:bookmarkStart w:id="21" w:name="_Toc83886016"/>
      <w:bookmarkStart w:id="22" w:name="_Toc26219"/>
      <w:bookmarkStart w:id="23" w:name="_Toc15241"/>
      <w:bookmarkStart w:id="24" w:name="_Toc143421657"/>
      <w:r>
        <w:rPr>
          <w:rFonts w:hint="eastAsia" w:ascii="宋体" w:hAnsi="宋体" w:eastAsia="宋体" w:cs="宋体"/>
          <w:b/>
          <w:snapToGrid w:val="0"/>
          <w:color w:val="auto"/>
          <w:kern w:val="0"/>
          <w:sz w:val="24"/>
          <w:highlight w:val="none"/>
        </w:rPr>
        <w:t>2、招标文件</w:t>
      </w:r>
      <w:bookmarkEnd w:id="21"/>
      <w:bookmarkEnd w:id="22"/>
      <w:bookmarkEnd w:id="23"/>
      <w:bookmarkEnd w:id="24"/>
    </w:p>
    <w:p w14:paraId="2ED94AA2">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25" w:name="_Toc1426"/>
      <w:r>
        <w:rPr>
          <w:rFonts w:hint="eastAsia" w:ascii="宋体" w:hAnsi="宋体" w:eastAsia="宋体" w:cs="宋体"/>
          <w:b/>
          <w:bCs/>
          <w:snapToGrid w:val="0"/>
          <w:color w:val="auto"/>
          <w:kern w:val="0"/>
          <w:sz w:val="24"/>
          <w:highlight w:val="none"/>
        </w:rPr>
        <w:t>2.1招标文件的组成</w:t>
      </w:r>
      <w:bookmarkEnd w:id="25"/>
    </w:p>
    <w:p w14:paraId="6110F5F4">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本招标文件包括：</w:t>
      </w:r>
    </w:p>
    <w:p w14:paraId="62B87EF6">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（1）招标公告；</w:t>
      </w:r>
    </w:p>
    <w:p w14:paraId="5AEB7DBB">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（2）投标人须知；</w:t>
      </w:r>
    </w:p>
    <w:p w14:paraId="17434B06">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（3）用户需求及技术要求；</w:t>
      </w:r>
    </w:p>
    <w:p w14:paraId="0BA1E1BA">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（4）评标方法及评价标准；</w:t>
      </w:r>
    </w:p>
    <w:p w14:paraId="5C5D470E">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（5）投标文件格式；</w:t>
      </w:r>
    </w:p>
    <w:p w14:paraId="017BBD8E">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（6）合同条款及格式（仅供参考）；</w:t>
      </w:r>
    </w:p>
    <w:p w14:paraId="03239F6C">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（7）投标人须知前附表规定的其他材料。</w:t>
      </w:r>
    </w:p>
    <w:p w14:paraId="08A79382">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根据本须知第2.3款对招标文件做出的澄清、修改、答复内容，共同构成招标文件的组成部分。</w:t>
      </w:r>
    </w:p>
    <w:p w14:paraId="1FD293B7">
      <w:pPr>
        <w:spacing w:line="360" w:lineRule="auto"/>
        <w:ind w:firstLine="480" w:firstLineChars="200"/>
        <w:rPr>
          <w:rFonts w:ascii="宋体" w:hAnsi="宋体" w:eastAsia="宋体" w:cs="宋体"/>
          <w:snapToGrid w:val="0"/>
          <w:color w:val="auto"/>
          <w:kern w:val="0"/>
          <w:sz w:val="24"/>
          <w:highlight w:val="none"/>
          <w:lang w:val="zh-CN"/>
        </w:rPr>
      </w:pPr>
      <w:r>
        <w:rPr>
          <w:rFonts w:hint="eastAsia" w:ascii="宋体" w:hAnsi="宋体" w:eastAsia="宋体" w:cs="宋体"/>
          <w:snapToGrid w:val="0"/>
          <w:color w:val="auto"/>
          <w:kern w:val="0"/>
          <w:sz w:val="24"/>
          <w:highlight w:val="none"/>
          <w:lang w:val="zh-CN"/>
        </w:rPr>
        <w:t>除上述所列内容外，招标人的任何工作人员对投标人所作的任何口头解释、介绍、答复，只能供投标人参考，对招标人和投标人无任何约束力。</w:t>
      </w:r>
    </w:p>
    <w:p w14:paraId="6C79A87E">
      <w:pPr>
        <w:pStyle w:val="8"/>
        <w:adjustRightInd w:val="0"/>
        <w:snapToGrid w:val="0"/>
        <w:spacing w:after="0" w:line="360" w:lineRule="auto"/>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2.2招标文件的获取</w:t>
      </w:r>
    </w:p>
    <w:p w14:paraId="1241E8C8">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2.2.1招标文件的获取方式、要求：见投标人须知前附表。</w:t>
      </w:r>
    </w:p>
    <w:p w14:paraId="058BEFA4">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26" w:name="_Toc18230"/>
      <w:r>
        <w:rPr>
          <w:rFonts w:hint="eastAsia" w:ascii="宋体" w:hAnsi="宋体" w:eastAsia="宋体" w:cs="宋体"/>
          <w:b/>
          <w:bCs/>
          <w:snapToGrid w:val="0"/>
          <w:color w:val="auto"/>
          <w:kern w:val="0"/>
          <w:sz w:val="24"/>
          <w:highlight w:val="none"/>
        </w:rPr>
        <w:t>2.3招标文件的澄清</w:t>
      </w:r>
      <w:bookmarkEnd w:id="26"/>
      <w:r>
        <w:rPr>
          <w:rFonts w:hint="eastAsia" w:ascii="宋体" w:hAnsi="宋体" w:eastAsia="宋体" w:cs="宋体"/>
          <w:b/>
          <w:bCs/>
          <w:snapToGrid w:val="0"/>
          <w:color w:val="auto"/>
          <w:kern w:val="0"/>
          <w:sz w:val="24"/>
          <w:highlight w:val="none"/>
        </w:rPr>
        <w:t>和修改</w:t>
      </w:r>
    </w:p>
    <w:p w14:paraId="647515C8">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2.3.1投标人在获取招标文件后，对招标文件任何部分若有任何疑问，应按投标人须知前附表规定的“对招标文件提出问题截止时间、方式”，要求招标人对招标文件予以澄清。</w:t>
      </w:r>
    </w:p>
    <w:p w14:paraId="7AD18420">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2.3.2招标人因投标人的澄清、异议要求而对招标文件做出澄清或修改的，以投标人须知前附表规定的“招标文件澄清、修改发出的形式”发给所有获取招标文件的投标人，但不指明澄清问题的来源。该澄清或修改文件作为招标文件的组成部分，具有约束作用。如果澄清或修改发出的时间距投标截止时间不足15天，且澄清或者修改的内容可能影响投标文件编制的，将顺延提交投标文件的截止时间。</w:t>
      </w:r>
    </w:p>
    <w:p w14:paraId="52C6C419">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2.3.3除非招标人认为确有必要答复，否则，招标人有权拒绝回复投标人在本章第2.3.1项规定的时间后的任何澄清要求。</w:t>
      </w:r>
    </w:p>
    <w:p w14:paraId="2E5DD251">
      <w:pPr>
        <w:snapToGrid w:val="0"/>
        <w:spacing w:line="360" w:lineRule="auto"/>
        <w:jc w:val="center"/>
        <w:outlineLvl w:val="1"/>
        <w:rPr>
          <w:rFonts w:ascii="宋体" w:hAnsi="宋体" w:eastAsia="宋体" w:cs="宋体"/>
          <w:b/>
          <w:snapToGrid w:val="0"/>
          <w:color w:val="auto"/>
          <w:kern w:val="0"/>
          <w:sz w:val="24"/>
          <w:highlight w:val="none"/>
        </w:rPr>
      </w:pPr>
      <w:bookmarkStart w:id="27" w:name="_Toc83886017"/>
      <w:bookmarkStart w:id="28" w:name="_Toc143421658"/>
      <w:bookmarkStart w:id="29" w:name="_Toc18870"/>
      <w:bookmarkStart w:id="30" w:name="_Toc26730"/>
      <w:r>
        <w:rPr>
          <w:rFonts w:hint="eastAsia" w:ascii="宋体" w:hAnsi="宋体" w:eastAsia="宋体" w:cs="宋体"/>
          <w:b/>
          <w:snapToGrid w:val="0"/>
          <w:color w:val="auto"/>
          <w:kern w:val="0"/>
          <w:sz w:val="24"/>
          <w:highlight w:val="none"/>
        </w:rPr>
        <w:t>3、投标文件</w:t>
      </w:r>
      <w:bookmarkEnd w:id="27"/>
      <w:bookmarkEnd w:id="28"/>
      <w:bookmarkEnd w:id="29"/>
      <w:bookmarkEnd w:id="30"/>
    </w:p>
    <w:p w14:paraId="605A4218">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31" w:name="_Toc1411"/>
      <w:bookmarkStart w:id="32" w:name="_Toc143421659"/>
      <w:bookmarkStart w:id="33" w:name="_Toc32652"/>
      <w:r>
        <w:rPr>
          <w:rFonts w:hint="eastAsia" w:ascii="宋体" w:hAnsi="宋体" w:eastAsia="宋体" w:cs="宋体"/>
          <w:b/>
          <w:bCs/>
          <w:snapToGrid w:val="0"/>
          <w:color w:val="auto"/>
          <w:kern w:val="0"/>
          <w:sz w:val="24"/>
          <w:highlight w:val="none"/>
        </w:rPr>
        <w:t>3.1投标文件的组成</w:t>
      </w:r>
      <w:bookmarkEnd w:id="31"/>
    </w:p>
    <w:p w14:paraId="01A6764D">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3.1.1 投标文件的组成：见投标人须知前附表。</w:t>
      </w:r>
    </w:p>
    <w:p w14:paraId="6A152ACE">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投标人在评标过程中作出的符合法律法规和招标文件规定的澄清确认，构成投标文件的组成部分。</w:t>
      </w:r>
    </w:p>
    <w:p w14:paraId="491821F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3.1.2投标人须知前附表规定不接受联合体投标的，或投标人没有组成联合体的，投标文件不包括投标人须知前附表所指的联合体协议书。</w:t>
      </w:r>
    </w:p>
    <w:p w14:paraId="3DDAD838">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3.1.3投标人须知前附表未要求提交投标保证金的，投标文件不包括投标人须知前附表所指的投标保证金缴存证明。</w:t>
      </w:r>
    </w:p>
    <w:p w14:paraId="0FA5A2A1">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3.2资格审查资料</w:t>
      </w:r>
    </w:p>
    <w:p w14:paraId="605CBC8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3.2.1投标人应按本章第1.4款要求提供相关资格审查资料。</w:t>
      </w:r>
    </w:p>
    <w:p w14:paraId="60B8555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3.2.2“资格文件”中的“营业执照”等复印件是指：</w:t>
      </w:r>
    </w:p>
    <w:p w14:paraId="1AADBD99">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投标人根据企业、非企业性质不同，可分别提供营业执照、事业单位法人证书、社会团体法人登记证书或其他组织登记证明文件的复印件；</w:t>
      </w:r>
    </w:p>
    <w:p w14:paraId="164F60C4">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3.2.3“资格文件”中的“其他资格条件证明材料”应提供与项目的特殊要求存在实质性关联的相关特定行业资格许可证或授权许可证的证书复印件，或招标人认为确需增加的其他资格条件相关的合同、业绩证明材料。</w:t>
      </w:r>
    </w:p>
    <w:p w14:paraId="7E3FEBEF">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34" w:name="_Toc32225"/>
      <w:r>
        <w:rPr>
          <w:rFonts w:hint="eastAsia" w:ascii="宋体" w:hAnsi="宋体" w:eastAsia="宋体" w:cs="宋体"/>
          <w:b/>
          <w:bCs/>
          <w:snapToGrid w:val="0"/>
          <w:color w:val="auto"/>
          <w:kern w:val="0"/>
          <w:sz w:val="24"/>
          <w:highlight w:val="none"/>
        </w:rPr>
        <w:t>3.3投标报价</w:t>
      </w:r>
      <w:bookmarkEnd w:id="34"/>
    </w:p>
    <w:p w14:paraId="754B1A85">
      <w:pPr>
        <w:snapToGrid w:val="0"/>
        <w:spacing w:line="360" w:lineRule="auto"/>
        <w:ind w:firstLine="480" w:firstLineChars="200"/>
        <w:jc w:val="left"/>
        <w:rPr>
          <w:rFonts w:ascii="宋体" w:hAnsi="宋体" w:eastAsia="宋体" w:cs="宋体"/>
          <w:snapToGrid w:val="0"/>
          <w:color w:val="auto"/>
          <w:kern w:val="0"/>
          <w:sz w:val="24"/>
          <w:highlight w:val="none"/>
        </w:rPr>
      </w:pPr>
      <w:bookmarkStart w:id="35" w:name="_Toc13307"/>
      <w:r>
        <w:rPr>
          <w:rFonts w:hint="eastAsia" w:ascii="宋体" w:hAnsi="宋体" w:eastAsia="宋体" w:cs="宋体"/>
          <w:snapToGrid w:val="0"/>
          <w:color w:val="auto"/>
          <w:kern w:val="0"/>
          <w:sz w:val="24"/>
          <w:highlight w:val="none"/>
        </w:rPr>
        <w:t>3.3.1投标人应按第五章“投标文件格式”的要求在“投标函”中进行报价。</w:t>
      </w:r>
      <w:r>
        <w:rPr>
          <w:rFonts w:hint="eastAsia" w:ascii="宋体" w:hAnsi="宋体" w:eastAsia="宋体" w:cs="宋体"/>
          <w:color w:val="auto"/>
          <w:sz w:val="24"/>
          <w:highlight w:val="none"/>
        </w:rPr>
        <w:t>有关本项目建设或采购所需的所有费用均计入报价。</w:t>
      </w:r>
      <w:r>
        <w:rPr>
          <w:rFonts w:hint="eastAsia" w:ascii="宋体" w:hAnsi="宋体" w:eastAsia="宋体" w:cs="宋体"/>
          <w:snapToGrid w:val="0"/>
          <w:color w:val="auto"/>
          <w:kern w:val="0"/>
          <w:sz w:val="24"/>
          <w:highlight w:val="none"/>
        </w:rPr>
        <w:t>投标文件中价格全部采用人民币报价。</w:t>
      </w:r>
    </w:p>
    <w:p w14:paraId="5D455354">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3.3.2投标人应充分了解该项目的总体情况以及影响投标报价的其他要素。</w:t>
      </w:r>
    </w:p>
    <w:p w14:paraId="479AB6D3">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3.3.3招标人设有最高投标限价的，投标人的投标报价不得超过最高投标限价，最高投标限价在投标人须知前附表中载明。</w:t>
      </w:r>
    </w:p>
    <w:p w14:paraId="1564996B">
      <w:pPr>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3.3.4投标报价的具体要求详见第三章“用户需求及技术要求”。</w:t>
      </w:r>
    </w:p>
    <w:bookmarkEnd w:id="35"/>
    <w:p w14:paraId="4F5E4C67">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36" w:name="_Toc29989"/>
      <w:r>
        <w:rPr>
          <w:rFonts w:hint="eastAsia" w:ascii="宋体" w:hAnsi="宋体" w:eastAsia="宋体" w:cs="宋体"/>
          <w:b/>
          <w:bCs/>
          <w:snapToGrid w:val="0"/>
          <w:color w:val="auto"/>
          <w:kern w:val="0"/>
          <w:sz w:val="24"/>
          <w:highlight w:val="none"/>
        </w:rPr>
        <w:t>3.4投标文件的编制</w:t>
      </w:r>
      <w:bookmarkEnd w:id="36"/>
    </w:p>
    <w:p w14:paraId="6FA5DD89">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3.4.1投标文件分资格文件、商务文件、资信文件、技术文件四部分，应按第3.1款规定的内容和第五章“投标文件格式”进行编写，如有必要，可以增加附页，作为投标文件的组成部分，“投标文件格式”中没有规定的可自行编制格式。</w:t>
      </w:r>
    </w:p>
    <w:p w14:paraId="4930D3F8">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3.4.2投标人按投标人须知前附表规定的份数编制投标文件。投标文件的正本和副本均需打印或使用不褪色的墨水笔书写，字迹应清晰易于辨认。正本和副本的封面右上角上应清楚地标记“正本”或“副本”的字样。投标人应根据前附表要求提供电子版文件。当副本和正本不一致或电子版文件和纸质正本文件不一致时，以纸质正本文件为准。</w:t>
      </w:r>
    </w:p>
    <w:p w14:paraId="7140AD07">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3.4.3投标文件装订要求见投标人须知前附表。投标文件的正本与副本应分别装订成册，内容是否分册装订见前附表。投标文件的装订必须采用胶订或线订形式，不得采用活页装订方式（胶订或线订以外装订形式视为活页装订）。投标文件建议采用A4幅面，按顺序统一编目编码装订成册。提倡双面打印。</w:t>
      </w:r>
    </w:p>
    <w:p w14:paraId="593AE0E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3.4.4 投标文件按照招标文件第五章格式要求进行签署、盖章。投标文件封面、投标函均应加盖</w:t>
      </w:r>
      <w:r>
        <w:rPr>
          <w:rFonts w:hint="eastAsia" w:ascii="宋体" w:hAnsi="宋体" w:cs="宋体"/>
          <w:snapToGrid w:val="0"/>
          <w:color w:val="auto"/>
          <w:sz w:val="24"/>
          <w:szCs w:val="24"/>
          <w:highlight w:val="none"/>
        </w:rPr>
        <w:t>投标人单位公章</w:t>
      </w:r>
      <w:r>
        <w:rPr>
          <w:rFonts w:hint="eastAsia" w:ascii="宋体" w:hAnsi="宋体" w:cs="宋体"/>
          <w:snapToGrid w:val="0"/>
          <w:color w:val="auto"/>
          <w:kern w:val="0"/>
          <w:sz w:val="24"/>
          <w:szCs w:val="24"/>
          <w:highlight w:val="none"/>
        </w:rPr>
        <w:t>并经法定代表人或其委托代理人签字或盖</w:t>
      </w:r>
      <w:r>
        <w:rPr>
          <w:rFonts w:hint="eastAsia" w:ascii="宋体" w:hAnsi="宋体" w:cs="宋体"/>
          <w:snapToGrid w:val="0"/>
          <w:color w:val="auto"/>
          <w:sz w:val="24"/>
          <w:szCs w:val="24"/>
          <w:highlight w:val="none"/>
        </w:rPr>
        <w:t>投标人单位公章</w:t>
      </w:r>
      <w:r>
        <w:rPr>
          <w:rFonts w:hint="eastAsia" w:ascii="宋体" w:hAnsi="宋体" w:cs="宋体"/>
          <w:snapToGrid w:val="0"/>
          <w:color w:val="auto"/>
          <w:kern w:val="0"/>
          <w:sz w:val="24"/>
          <w:szCs w:val="24"/>
          <w:highlight w:val="none"/>
        </w:rPr>
        <w:t>。由委托代理人签字或盖</w:t>
      </w:r>
      <w:r>
        <w:rPr>
          <w:rFonts w:hint="eastAsia" w:ascii="宋体" w:hAnsi="宋体" w:cs="宋体"/>
          <w:snapToGrid w:val="0"/>
          <w:color w:val="auto"/>
          <w:sz w:val="24"/>
          <w:szCs w:val="24"/>
          <w:highlight w:val="none"/>
        </w:rPr>
        <w:t>投标人单位公章</w:t>
      </w:r>
      <w:r>
        <w:rPr>
          <w:rFonts w:hint="eastAsia" w:ascii="宋体" w:hAnsi="宋体" w:cs="宋体"/>
          <w:snapToGrid w:val="0"/>
          <w:color w:val="auto"/>
          <w:kern w:val="0"/>
          <w:sz w:val="24"/>
          <w:szCs w:val="24"/>
          <w:highlight w:val="none"/>
        </w:rPr>
        <w:t>的在投标文件中必须同时提交法定代表人签署授权委托书。投标文件应尽量避免涂改、行间插字或删除。如果出现上述情况，改动之处应由投标人的法定代表人或其委托代理人签字或盖</w:t>
      </w:r>
      <w:r>
        <w:rPr>
          <w:rFonts w:hint="eastAsia" w:ascii="宋体" w:hAnsi="宋体" w:cs="宋体"/>
          <w:snapToGrid w:val="0"/>
          <w:color w:val="auto"/>
          <w:sz w:val="24"/>
          <w:szCs w:val="24"/>
          <w:highlight w:val="none"/>
        </w:rPr>
        <w:t>投标人单位公章</w:t>
      </w:r>
      <w:r>
        <w:rPr>
          <w:rFonts w:hint="eastAsia" w:ascii="宋体" w:hAnsi="宋体" w:cs="宋体"/>
          <w:snapToGrid w:val="0"/>
          <w:color w:val="auto"/>
          <w:kern w:val="0"/>
          <w:sz w:val="24"/>
          <w:szCs w:val="24"/>
          <w:highlight w:val="none"/>
        </w:rPr>
        <w:t>、注明日期予以确认。</w:t>
      </w:r>
    </w:p>
    <w:p w14:paraId="42D1CA9D">
      <w:pPr>
        <w:adjustRightInd w:val="0"/>
        <w:snapToGrid w:val="0"/>
        <w:spacing w:line="360" w:lineRule="auto"/>
        <w:ind w:firstLine="482" w:firstLineChars="200"/>
        <w:jc w:val="center"/>
        <w:outlineLvl w:val="1"/>
        <w:rPr>
          <w:rFonts w:ascii="宋体" w:hAnsi="宋体" w:eastAsia="宋体" w:cs="宋体"/>
          <w:b/>
          <w:snapToGrid w:val="0"/>
          <w:color w:val="auto"/>
          <w:kern w:val="0"/>
          <w:sz w:val="24"/>
          <w:highlight w:val="none"/>
        </w:rPr>
      </w:pPr>
      <w:bookmarkStart w:id="37" w:name="_Toc13653"/>
      <w:bookmarkStart w:id="38" w:name="_Toc83886018"/>
      <w:r>
        <w:rPr>
          <w:rFonts w:hint="eastAsia" w:ascii="宋体" w:hAnsi="宋体" w:eastAsia="宋体" w:cs="宋体"/>
          <w:b/>
          <w:snapToGrid w:val="0"/>
          <w:color w:val="auto"/>
          <w:kern w:val="0"/>
          <w:sz w:val="24"/>
          <w:highlight w:val="none"/>
        </w:rPr>
        <w:t>4、投标</w:t>
      </w:r>
      <w:bookmarkEnd w:id="37"/>
      <w:bookmarkEnd w:id="38"/>
    </w:p>
    <w:bookmarkEnd w:id="32"/>
    <w:bookmarkEnd w:id="33"/>
    <w:p w14:paraId="0556CFB1">
      <w:pPr>
        <w:adjustRightInd w:val="0"/>
        <w:snapToGrid w:val="0"/>
        <w:spacing w:line="360" w:lineRule="auto"/>
        <w:jc w:val="left"/>
        <w:rPr>
          <w:rFonts w:ascii="宋体" w:hAnsi="宋体" w:eastAsia="宋体" w:cs="宋体"/>
          <w:b/>
          <w:bCs/>
          <w:snapToGrid w:val="0"/>
          <w:color w:val="auto"/>
          <w:kern w:val="0"/>
          <w:sz w:val="24"/>
          <w:highlight w:val="none"/>
        </w:rPr>
      </w:pPr>
      <w:bookmarkStart w:id="39" w:name="_Toc649"/>
      <w:r>
        <w:rPr>
          <w:rFonts w:hint="eastAsia" w:ascii="宋体" w:hAnsi="宋体" w:eastAsia="宋体" w:cs="宋体"/>
          <w:b/>
          <w:bCs/>
          <w:snapToGrid w:val="0"/>
          <w:color w:val="auto"/>
          <w:kern w:val="0"/>
          <w:sz w:val="24"/>
          <w:highlight w:val="none"/>
        </w:rPr>
        <w:t>4.1 踏勘现场</w:t>
      </w:r>
    </w:p>
    <w:p w14:paraId="6E6A66EE">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4.1.1 投标人须知前附表规定组织踏勘现场的，招标人按投标人须知前附表规定的时间、地点组织投标人踏勘项目现场。未参加现场踏勘不作为否定投标人资格的理由。</w:t>
      </w:r>
    </w:p>
    <w:p w14:paraId="02FBAA0E">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4.1.2 投标人踏勘现场发生的费用自理。 除招标人的原因外，投标人自行负责在踏勘现场中所发生的人员伤亡和财产损失。</w:t>
      </w:r>
    </w:p>
    <w:p w14:paraId="0BB79CA7">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4.1.3 招标人在踏勘现场中介绍的项目情况和提供的资料，仅供投标人在编制投标文件时参考，招标人不对投标人据此作出的判断和决策负责。</w:t>
      </w:r>
    </w:p>
    <w:p w14:paraId="1E0163AD">
      <w:pPr>
        <w:pStyle w:val="8"/>
        <w:adjustRightInd w:val="0"/>
        <w:snapToGrid w:val="0"/>
        <w:spacing w:after="0" w:line="360" w:lineRule="auto"/>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4.2 投标预备会</w:t>
      </w:r>
    </w:p>
    <w:p w14:paraId="3659A66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4.2.1 如招标人认为有必要召开投标预备会，潜在投标人按投标人须知前附表规定的时间、地点自行派出代表参加招标人组织的投标预备会。未出席投标预备会不作为否定投标人资格的理由。</w:t>
      </w:r>
    </w:p>
    <w:p w14:paraId="285086DB">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4.2.2投标预备会的目的是澄清、解答投标人在查阅招标文件后和现场踏勘中可能提出的任何方面的问题，如有必要，招标人将就投标人提出的问题以答疑的形式在投标预备会上进行解释。</w:t>
      </w:r>
    </w:p>
    <w:p w14:paraId="345256C7">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4.2.3招标人在投标预备会上所做出的澄清和解答，以书面答复为准，该答疑纪要文件构成招标文件的一部分，具有约束作用，并按第2.3.2项要求予以公布并通知。</w:t>
      </w:r>
    </w:p>
    <w:p w14:paraId="55D7D440">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40" w:name="_Toc30464"/>
      <w:bookmarkStart w:id="41" w:name="_Toc360398511"/>
      <w:r>
        <w:rPr>
          <w:rFonts w:hint="eastAsia" w:ascii="宋体" w:hAnsi="宋体" w:eastAsia="宋体" w:cs="宋体"/>
          <w:b/>
          <w:bCs/>
          <w:snapToGrid w:val="0"/>
          <w:color w:val="auto"/>
          <w:kern w:val="0"/>
          <w:sz w:val="24"/>
          <w:highlight w:val="none"/>
        </w:rPr>
        <w:t>4.3 投标保证金</w:t>
      </w:r>
      <w:bookmarkEnd w:id="40"/>
      <w:bookmarkEnd w:id="41"/>
    </w:p>
    <w:p w14:paraId="53F691C9">
      <w:pPr>
        <w:widowControl/>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4.3.1投标人应在递交投标文件时或之前提交一笔不少于投标人须知前附表所规定数额的投标保证金，作为其投标的一部分。招标人可根据招标文件规定的条件对投标保证金</w:t>
      </w:r>
      <w:r>
        <w:rPr>
          <w:rFonts w:hint="eastAsia" w:ascii="宋体" w:hAnsi="宋体" w:eastAsia="宋体" w:cs="宋体"/>
          <w:color w:val="auto"/>
          <w:kern w:val="0"/>
          <w:sz w:val="24"/>
          <w:highlight w:val="none"/>
          <w:lang w:bidi="ar"/>
        </w:rPr>
        <w:t>不予退还</w:t>
      </w:r>
      <w:r>
        <w:rPr>
          <w:rFonts w:hint="eastAsia" w:ascii="宋体" w:hAnsi="宋体" w:eastAsia="宋体" w:cs="宋体"/>
          <w:snapToGrid w:val="0"/>
          <w:color w:val="auto"/>
          <w:kern w:val="0"/>
          <w:sz w:val="24"/>
          <w:highlight w:val="none"/>
        </w:rPr>
        <w:t>。</w:t>
      </w:r>
    </w:p>
    <w:p w14:paraId="3543B37F">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4.3.2对于未能按要求提交投标保证金的投标，招标人将视为不响应招标文件而予以拒绝。</w:t>
      </w:r>
    </w:p>
    <w:p w14:paraId="0149E310">
      <w:pPr>
        <w:widowControl/>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4.3.3未中标的投标人的投标保证金将在中标公示期满后两周内予以</w:t>
      </w:r>
      <w:r>
        <w:rPr>
          <w:rFonts w:hint="eastAsia" w:ascii="宋体" w:hAnsi="宋体" w:eastAsia="宋体" w:cs="宋体"/>
          <w:color w:val="auto"/>
          <w:kern w:val="0"/>
          <w:sz w:val="24"/>
          <w:highlight w:val="none"/>
          <w:lang w:bidi="ar"/>
        </w:rPr>
        <w:t>无息</w:t>
      </w:r>
      <w:r>
        <w:rPr>
          <w:rFonts w:hint="eastAsia" w:ascii="宋体" w:hAnsi="宋体" w:eastAsia="宋体" w:cs="宋体"/>
          <w:snapToGrid w:val="0"/>
          <w:color w:val="auto"/>
          <w:kern w:val="0"/>
          <w:sz w:val="24"/>
          <w:highlight w:val="none"/>
        </w:rPr>
        <w:t>退还。</w:t>
      </w:r>
    </w:p>
    <w:p w14:paraId="0A987AB6">
      <w:pPr>
        <w:widowControl/>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4.3.4中标人的投标保证金，在中标人签订合同后两周内予以</w:t>
      </w:r>
      <w:r>
        <w:rPr>
          <w:rFonts w:hint="eastAsia" w:ascii="宋体" w:hAnsi="宋体" w:eastAsia="宋体" w:cs="宋体"/>
          <w:color w:val="auto"/>
          <w:kern w:val="0"/>
          <w:sz w:val="24"/>
          <w:highlight w:val="none"/>
          <w:lang w:bidi="ar"/>
        </w:rPr>
        <w:t>无息</w:t>
      </w:r>
      <w:r>
        <w:rPr>
          <w:rFonts w:hint="eastAsia" w:ascii="宋体" w:hAnsi="宋体" w:eastAsia="宋体" w:cs="宋体"/>
          <w:snapToGrid w:val="0"/>
          <w:color w:val="auto"/>
          <w:kern w:val="0"/>
          <w:sz w:val="24"/>
          <w:highlight w:val="none"/>
        </w:rPr>
        <w:t>退还。</w:t>
      </w:r>
    </w:p>
    <w:p w14:paraId="16A85DCE">
      <w:pPr>
        <w:widowControl/>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4.3.5如投标人有下列任何情况发生时，投标保证金将</w:t>
      </w:r>
      <w:r>
        <w:rPr>
          <w:rFonts w:hint="eastAsia" w:ascii="宋体" w:hAnsi="宋体" w:eastAsia="宋体" w:cs="宋体"/>
          <w:color w:val="auto"/>
          <w:kern w:val="0"/>
          <w:sz w:val="24"/>
          <w:highlight w:val="none"/>
          <w:lang w:bidi="ar"/>
        </w:rPr>
        <w:t>不予退还</w:t>
      </w:r>
      <w:r>
        <w:rPr>
          <w:rFonts w:hint="eastAsia" w:ascii="宋体" w:hAnsi="宋体" w:eastAsia="宋体" w:cs="宋体"/>
          <w:snapToGrid w:val="0"/>
          <w:color w:val="auto"/>
          <w:kern w:val="0"/>
          <w:sz w:val="24"/>
          <w:highlight w:val="none"/>
        </w:rPr>
        <w:t>：</w:t>
      </w:r>
    </w:p>
    <w:p w14:paraId="542363F7">
      <w:pPr>
        <w:pStyle w:val="8"/>
        <w:numPr>
          <w:ilvl w:val="0"/>
          <w:numId w:val="2"/>
        </w:numPr>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在投标有效期内撤回投标文件的；</w:t>
      </w:r>
    </w:p>
    <w:p w14:paraId="6CBEDECB">
      <w:pPr>
        <w:pStyle w:val="8"/>
        <w:numPr>
          <w:ilvl w:val="0"/>
          <w:numId w:val="2"/>
        </w:numPr>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拒绝接受投标文件中已确认的承诺或条款；</w:t>
      </w:r>
    </w:p>
    <w:p w14:paraId="71761505">
      <w:pPr>
        <w:pStyle w:val="8"/>
        <w:numPr>
          <w:ilvl w:val="0"/>
          <w:numId w:val="2"/>
        </w:numPr>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中标人未能在规定期限内提交履约保证金或签署合同协议的；</w:t>
      </w:r>
    </w:p>
    <w:p w14:paraId="5A1143A5">
      <w:pPr>
        <w:pStyle w:val="8"/>
        <w:numPr>
          <w:ilvl w:val="0"/>
          <w:numId w:val="2"/>
        </w:numPr>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投标人提供虚假资料，经查实的；</w:t>
      </w:r>
    </w:p>
    <w:p w14:paraId="635D0142">
      <w:pPr>
        <w:pStyle w:val="8"/>
        <w:adjustRightInd w:val="0"/>
        <w:snapToGrid w:val="0"/>
        <w:spacing w:after="0" w:line="360" w:lineRule="auto"/>
        <w:ind w:left="640" w:left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（5）投标人在投标期间有串标、哄抬标价等违规违法行为。</w:t>
      </w:r>
    </w:p>
    <w:p w14:paraId="02062589">
      <w:pPr>
        <w:keepNext/>
        <w:keepLines/>
        <w:adjustRightInd w:val="0"/>
        <w:snapToGrid w:val="0"/>
        <w:spacing w:line="360" w:lineRule="auto"/>
        <w:jc w:val="left"/>
        <w:outlineLvl w:val="2"/>
        <w:rPr>
          <w:rFonts w:ascii="宋体" w:hAnsi="宋体" w:eastAsia="宋体" w:cs="宋体"/>
          <w:snapToGrid w:val="0"/>
          <w:color w:val="auto"/>
          <w:kern w:val="0"/>
          <w:sz w:val="24"/>
          <w:highlight w:val="none"/>
        </w:rPr>
      </w:pPr>
      <w:r>
        <w:rPr>
          <w:rFonts w:hint="eastAsia" w:ascii="宋体" w:hAnsi="宋体" w:eastAsia="宋体" w:cs="宋体"/>
          <w:b/>
          <w:bCs/>
          <w:snapToGrid w:val="0"/>
          <w:color w:val="auto"/>
          <w:kern w:val="0"/>
          <w:sz w:val="24"/>
          <w:highlight w:val="none"/>
        </w:rPr>
        <w:t>4.4投标样品</w:t>
      </w:r>
    </w:p>
    <w:p w14:paraId="40DAA31B">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4.4.1本项目投标样品提供的要求：见投标人须知前附表。</w:t>
      </w:r>
    </w:p>
    <w:p w14:paraId="1EB00E57">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4.5投标文件的密封和标识</w:t>
      </w:r>
      <w:bookmarkEnd w:id="39"/>
    </w:p>
    <w:p w14:paraId="6322EDAE">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bookmarkStart w:id="42" w:name="_Toc16616"/>
      <w:r>
        <w:rPr>
          <w:rFonts w:hint="eastAsia" w:ascii="宋体" w:hAnsi="宋体" w:cs="宋体"/>
          <w:snapToGrid w:val="0"/>
          <w:color w:val="auto"/>
          <w:kern w:val="0"/>
          <w:sz w:val="24"/>
          <w:szCs w:val="24"/>
          <w:highlight w:val="none"/>
        </w:rPr>
        <w:t>4.5.1投标文件必须密封包装，并在封套的封口处加盖投标人单位章或由投标人的法定代表人或其授权的代理人签字。</w:t>
      </w:r>
    </w:p>
    <w:p w14:paraId="4E051064">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4.5.2投标文件封套上应写明的内容见投标人须知前附表。</w:t>
      </w:r>
    </w:p>
    <w:p w14:paraId="3352A08C">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4.5.3未按本章第4.7.2项要求填写内容的投标文件，招标人将不承担投标文件错放或提前开封导致投标被拒绝的责任。</w:t>
      </w:r>
    </w:p>
    <w:p w14:paraId="03E5FAFF">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4.6投标文件的递交</w:t>
      </w:r>
      <w:bookmarkEnd w:id="42"/>
    </w:p>
    <w:p w14:paraId="28DABDD6">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4.6.1投标人应在投标人须知前附表规定的投标截止时间前、规定的投标文件递交地点递交投标文件。</w:t>
      </w:r>
    </w:p>
    <w:p w14:paraId="6AB1933B">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4.6.2除投标人须知前附表另有规定外，投标人有效递交的投标文件不予退还。</w:t>
      </w:r>
    </w:p>
    <w:p w14:paraId="396A2C21">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43" w:name="_Toc26099"/>
      <w:r>
        <w:rPr>
          <w:rFonts w:hint="eastAsia" w:ascii="宋体" w:hAnsi="宋体" w:eastAsia="宋体" w:cs="宋体"/>
          <w:b/>
          <w:bCs/>
          <w:snapToGrid w:val="0"/>
          <w:color w:val="auto"/>
          <w:kern w:val="0"/>
          <w:sz w:val="24"/>
          <w:highlight w:val="none"/>
        </w:rPr>
        <w:t>4.7投标文件的补充、修改、撤回</w:t>
      </w:r>
      <w:bookmarkEnd w:id="43"/>
      <w:r>
        <w:rPr>
          <w:rFonts w:hint="eastAsia" w:ascii="宋体" w:hAnsi="宋体" w:eastAsia="宋体" w:cs="宋体"/>
          <w:b/>
          <w:bCs/>
          <w:snapToGrid w:val="0"/>
          <w:color w:val="auto"/>
          <w:kern w:val="0"/>
          <w:sz w:val="24"/>
          <w:highlight w:val="none"/>
        </w:rPr>
        <w:t>和撤销</w:t>
      </w:r>
    </w:p>
    <w:p w14:paraId="392BC4D5">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4.7.1投标人递交投标文件以后，在规定的投标截止时间之前，投标人可以补充、修改或撤回已递交的投标文件，但应以书面形式通知招标人。</w:t>
      </w:r>
    </w:p>
    <w:p w14:paraId="5F2AE6DC">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4.7.2投标人补充、修改或撤回已递交投标文件的书面通知应按照第3条、第4条的有关规定进行编制、密封、标识和递交，并标明“补充修改”或“撤回”字样。</w:t>
      </w:r>
    </w:p>
    <w:p w14:paraId="0BE76AB4">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4.7.3补充、修改的内容为投标文件的组成部分。补充、修改的内容与投标文件不一致的，以补充、修改的内容为准。</w:t>
      </w:r>
    </w:p>
    <w:p w14:paraId="47F53AA1">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4.7.4在投标截止时间以后，不能补充、修改投标文件。投标截止时间以后至招标文件规定的投标有效期内，投标人不能撤销或修改投标文件。</w:t>
      </w:r>
    </w:p>
    <w:p w14:paraId="25D71805">
      <w:pPr>
        <w:keepNext/>
        <w:keepLines/>
        <w:adjustRightInd w:val="0"/>
        <w:snapToGrid w:val="0"/>
        <w:spacing w:line="360" w:lineRule="auto"/>
        <w:outlineLvl w:val="2"/>
        <w:rPr>
          <w:rFonts w:ascii="宋体" w:hAnsi="宋体" w:eastAsia="宋体" w:cs="宋体"/>
          <w:color w:val="auto"/>
          <w:highlight w:val="none"/>
        </w:rPr>
      </w:pPr>
      <w:r>
        <w:rPr>
          <w:rFonts w:hint="eastAsia" w:ascii="宋体" w:hAnsi="宋体" w:eastAsia="宋体" w:cs="宋体"/>
          <w:b/>
          <w:bCs/>
          <w:snapToGrid w:val="0"/>
          <w:color w:val="auto"/>
          <w:kern w:val="0"/>
          <w:sz w:val="24"/>
          <w:highlight w:val="none"/>
        </w:rPr>
        <w:t>4.8投标有效期</w:t>
      </w:r>
    </w:p>
    <w:p w14:paraId="47C13003">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4.8.1除投标人须知前附表另有规定外，投标有效期为90日历天。投标人的投标文件中承诺的投标有效期不得少于招标文件中载明的投标有效期。</w:t>
      </w:r>
    </w:p>
    <w:p w14:paraId="595BC5C5">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4.8.2在投标有效期内，投标人撤销或修改投标文件的，应承担招标文件和法律规定的责任。</w:t>
      </w:r>
    </w:p>
    <w:p w14:paraId="30BEF8E0">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4.8.3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不计利息）。在延长的投标有效期内第 4.5款关于投标保证金的退还与不予退还的规定仍然适用。</w:t>
      </w:r>
    </w:p>
    <w:p w14:paraId="295E68D7">
      <w:pPr>
        <w:snapToGrid w:val="0"/>
        <w:spacing w:line="360" w:lineRule="auto"/>
        <w:jc w:val="center"/>
        <w:outlineLvl w:val="1"/>
        <w:rPr>
          <w:rFonts w:ascii="宋体" w:hAnsi="宋体" w:eastAsia="宋体" w:cs="宋体"/>
          <w:b/>
          <w:snapToGrid w:val="0"/>
          <w:color w:val="auto"/>
          <w:kern w:val="0"/>
          <w:sz w:val="24"/>
          <w:highlight w:val="none"/>
        </w:rPr>
      </w:pPr>
      <w:bookmarkStart w:id="44" w:name="_Toc29641"/>
      <w:bookmarkStart w:id="45" w:name="_Toc83886019"/>
      <w:bookmarkStart w:id="46" w:name="_Toc30158"/>
      <w:r>
        <w:rPr>
          <w:rFonts w:hint="eastAsia" w:ascii="宋体" w:hAnsi="宋体" w:eastAsia="宋体" w:cs="宋体"/>
          <w:b/>
          <w:snapToGrid w:val="0"/>
          <w:color w:val="auto"/>
          <w:kern w:val="0"/>
          <w:sz w:val="24"/>
          <w:highlight w:val="none"/>
        </w:rPr>
        <w:t>5、开标</w:t>
      </w:r>
      <w:bookmarkEnd w:id="44"/>
      <w:bookmarkEnd w:id="45"/>
      <w:bookmarkEnd w:id="46"/>
    </w:p>
    <w:p w14:paraId="25E8D42D">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47" w:name="_Toc15123"/>
      <w:r>
        <w:rPr>
          <w:rFonts w:hint="eastAsia" w:ascii="宋体" w:hAnsi="宋体" w:eastAsia="宋体" w:cs="宋体"/>
          <w:b/>
          <w:bCs/>
          <w:snapToGrid w:val="0"/>
          <w:color w:val="auto"/>
          <w:kern w:val="0"/>
          <w:sz w:val="24"/>
          <w:highlight w:val="none"/>
        </w:rPr>
        <w:t>5.1开标时间和地点</w:t>
      </w:r>
      <w:bookmarkEnd w:id="47"/>
    </w:p>
    <w:p w14:paraId="7020948B">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5.1.1本项目按照投标人须知前附表规定的时间和地点公开举行开标会议，并邀请所有投标人法定代表人或其委托代理人（简称投标人代表，下同）参加开标会议。</w:t>
      </w:r>
    </w:p>
    <w:p w14:paraId="2CEF7C4D">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5.2开标应携带的资料</w:t>
      </w:r>
    </w:p>
    <w:p w14:paraId="7A806DB6">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5.2.1投标人代表参加开标时，应携带投标人须知前附表规定的资料。</w:t>
      </w:r>
    </w:p>
    <w:p w14:paraId="2BFDD3DB">
      <w:pPr>
        <w:adjustRightInd w:val="0"/>
        <w:snapToGrid w:val="0"/>
        <w:spacing w:line="360" w:lineRule="auto"/>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5.3开标顺序</w:t>
      </w:r>
    </w:p>
    <w:p w14:paraId="43B55266">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5.3.1</w:t>
      </w:r>
      <w:r>
        <w:rPr>
          <w:rFonts w:hint="eastAsia" w:ascii="宋体" w:hAnsi="宋体" w:eastAsia="宋体" w:cs="宋体"/>
          <w:color w:val="auto"/>
          <w:kern w:val="0"/>
          <w:sz w:val="24"/>
          <w:highlight w:val="none"/>
        </w:rPr>
        <w:t>开标顺序依据</w:t>
      </w:r>
      <w:r>
        <w:rPr>
          <w:rFonts w:hint="eastAsia" w:ascii="宋体" w:hAnsi="宋体" w:eastAsia="宋体" w:cs="宋体"/>
          <w:snapToGrid w:val="0"/>
          <w:color w:val="auto"/>
          <w:kern w:val="0"/>
          <w:sz w:val="24"/>
          <w:highlight w:val="none"/>
        </w:rPr>
        <w:t>投标人须知前附表的规定</w:t>
      </w:r>
      <w:r>
        <w:rPr>
          <w:rFonts w:hint="eastAsia" w:ascii="宋体" w:hAnsi="宋体" w:eastAsia="宋体" w:cs="宋体"/>
          <w:color w:val="auto"/>
          <w:kern w:val="0"/>
          <w:sz w:val="24"/>
          <w:highlight w:val="none"/>
        </w:rPr>
        <w:t>。</w:t>
      </w:r>
    </w:p>
    <w:p w14:paraId="1E26E4BB">
      <w:pPr>
        <w:adjustRightInd w:val="0"/>
        <w:snapToGrid w:val="0"/>
        <w:spacing w:line="360" w:lineRule="auto"/>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5.4开标程序</w:t>
      </w:r>
    </w:p>
    <w:p w14:paraId="55218CF5">
      <w:pPr>
        <w:pStyle w:val="8"/>
        <w:adjustRightInd w:val="0"/>
        <w:snapToGrid w:val="0"/>
        <w:spacing w:after="0" w:line="360" w:lineRule="auto"/>
        <w:ind w:firstLine="482" w:firstLineChars="200"/>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5.4.1开标由招标人（或招标代理）主持，按下列程序进行开标：</w:t>
      </w:r>
    </w:p>
    <w:p w14:paraId="03298799">
      <w:pPr>
        <w:pStyle w:val="8"/>
        <w:adjustRightInd w:val="0"/>
        <w:snapToGrid w:val="0"/>
        <w:spacing w:after="0" w:line="360" w:lineRule="auto"/>
        <w:ind w:firstLine="482" w:firstLineChars="200"/>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（1）宣布开标纪律；</w:t>
      </w:r>
    </w:p>
    <w:p w14:paraId="6B439DF8">
      <w:pPr>
        <w:pStyle w:val="8"/>
        <w:adjustRightInd w:val="0"/>
        <w:snapToGrid w:val="0"/>
        <w:spacing w:after="0" w:line="360" w:lineRule="auto"/>
        <w:ind w:firstLine="482" w:firstLineChars="200"/>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（2）公布在投标截止时间前递交投标文件的投标人家数及名称；</w:t>
      </w:r>
    </w:p>
    <w:p w14:paraId="1C102570">
      <w:pPr>
        <w:pStyle w:val="8"/>
        <w:adjustRightInd w:val="0"/>
        <w:snapToGrid w:val="0"/>
        <w:spacing w:after="0" w:line="360" w:lineRule="auto"/>
        <w:ind w:firstLine="482" w:firstLineChars="200"/>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（3）宣布：开标人、唱标人、记录人、监标人等有关工作人员；</w:t>
      </w:r>
    </w:p>
    <w:p w14:paraId="32790B49">
      <w:pPr>
        <w:pStyle w:val="8"/>
        <w:adjustRightInd w:val="0"/>
        <w:snapToGrid w:val="0"/>
        <w:spacing w:after="0" w:line="360" w:lineRule="auto"/>
        <w:ind w:firstLine="482" w:firstLineChars="200"/>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（4）监标人对各投标人法定代表人（或其委托代理人）身份证明进行核验；</w:t>
      </w:r>
    </w:p>
    <w:p w14:paraId="68B2C1F0">
      <w:pPr>
        <w:pStyle w:val="8"/>
        <w:adjustRightInd w:val="0"/>
        <w:snapToGrid w:val="0"/>
        <w:spacing w:after="0" w:line="360" w:lineRule="auto"/>
        <w:ind w:firstLine="482" w:firstLineChars="200"/>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（5）投标人代表或者其集体推选的代表检查投标文件的密封情况；</w:t>
      </w:r>
    </w:p>
    <w:p w14:paraId="2CC70CE6">
      <w:pPr>
        <w:pStyle w:val="8"/>
        <w:adjustRightInd w:val="0"/>
        <w:snapToGrid w:val="0"/>
        <w:spacing w:after="0" w:line="360" w:lineRule="auto"/>
        <w:ind w:firstLine="482" w:firstLineChars="200"/>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（6）按照投标人须知第5.3.1规定的开标顺序当众开启投标文件，清点投标文件正、副本数量，公布投标函内容（投标人全称、报价、服务期等其他内容），并记录在案；</w:t>
      </w:r>
    </w:p>
    <w:p w14:paraId="6B469EEE">
      <w:pPr>
        <w:pStyle w:val="8"/>
        <w:adjustRightInd w:val="0"/>
        <w:snapToGrid w:val="0"/>
        <w:spacing w:after="0" w:line="360" w:lineRule="auto"/>
        <w:ind w:firstLine="482" w:firstLineChars="200"/>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（7）投标人代表、唱标人、监标人、记录人等有关人员在开标记录上签字确认；</w:t>
      </w:r>
    </w:p>
    <w:p w14:paraId="0F4C0654">
      <w:pPr>
        <w:pStyle w:val="8"/>
        <w:adjustRightInd w:val="0"/>
        <w:snapToGrid w:val="0"/>
        <w:spacing w:after="0" w:line="360" w:lineRule="auto"/>
        <w:ind w:firstLine="482" w:firstLineChars="200"/>
        <w:jc w:val="left"/>
        <w:rPr>
          <w:rFonts w:ascii="宋体" w:hAnsi="宋体" w:cs="宋体"/>
          <w:b/>
          <w:bCs/>
          <w:snapToGrid w:val="0"/>
          <w:color w:val="auto"/>
          <w:kern w:val="0"/>
          <w:sz w:val="24"/>
          <w:szCs w:val="24"/>
          <w:highlight w:val="none"/>
        </w:rPr>
      </w:pPr>
      <w:r>
        <w:rPr>
          <w:rFonts w:hint="eastAsia" w:ascii="宋体" w:hAnsi="宋体" w:cs="宋体"/>
          <w:b/>
          <w:bCs/>
          <w:snapToGrid w:val="0"/>
          <w:color w:val="auto"/>
          <w:kern w:val="0"/>
          <w:sz w:val="24"/>
          <w:szCs w:val="24"/>
          <w:highlight w:val="none"/>
        </w:rPr>
        <w:t>（8）开标结束。</w:t>
      </w:r>
    </w:p>
    <w:p w14:paraId="729B6D59">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5.4.2投标人代表如发现唱标内容或记录结果与投标文件不一致的，应在开标现场当即提出予以纠正。</w:t>
      </w:r>
    </w:p>
    <w:p w14:paraId="4FBEEF4F">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5.4.3投标人未参加开标或参加开标但</w:t>
      </w:r>
      <w:r>
        <w:rPr>
          <w:rFonts w:hint="eastAsia" w:ascii="宋体" w:hAnsi="宋体" w:cs="宋体"/>
          <w:snapToGrid w:val="0"/>
          <w:color w:val="auto"/>
          <w:kern w:val="0"/>
          <w:sz w:val="24"/>
          <w:szCs w:val="24"/>
          <w:highlight w:val="none"/>
          <w:lang w:val="zh-CN"/>
        </w:rPr>
        <w:t>未在开标记录上签字的，</w:t>
      </w:r>
      <w:r>
        <w:rPr>
          <w:rFonts w:hint="eastAsia" w:ascii="宋体" w:hAnsi="宋体" w:cs="宋体"/>
          <w:snapToGrid w:val="0"/>
          <w:color w:val="auto"/>
          <w:kern w:val="0"/>
          <w:sz w:val="24"/>
          <w:szCs w:val="24"/>
          <w:highlight w:val="none"/>
        </w:rPr>
        <w:t>均视同认可开标结果。</w:t>
      </w:r>
    </w:p>
    <w:p w14:paraId="6AEF8CD4">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5.4.4投标人在投标截止时间前提交投标文件撤回函的，招标人应在开标时宣读撤回函，并将其投标文件及其投标保证金及时退还投标人。</w:t>
      </w:r>
    </w:p>
    <w:p w14:paraId="02FA86C6">
      <w:pPr>
        <w:adjustRightInd w:val="0"/>
        <w:snapToGrid w:val="0"/>
        <w:spacing w:line="360" w:lineRule="auto"/>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5.5投标文件拒收、退还：</w:t>
      </w:r>
      <w:r>
        <w:rPr>
          <w:rFonts w:hint="eastAsia" w:ascii="宋体" w:hAnsi="宋体" w:eastAsia="宋体" w:cs="宋体"/>
          <w:b/>
          <w:bCs/>
          <w:color w:val="auto"/>
          <w:kern w:val="21"/>
          <w:sz w:val="24"/>
          <w:highlight w:val="none"/>
        </w:rPr>
        <w:t>见投标人须知前附表。</w:t>
      </w:r>
    </w:p>
    <w:p w14:paraId="601100D1">
      <w:pPr>
        <w:snapToGrid w:val="0"/>
        <w:spacing w:line="360" w:lineRule="auto"/>
        <w:jc w:val="center"/>
        <w:outlineLvl w:val="1"/>
        <w:rPr>
          <w:rFonts w:ascii="宋体" w:hAnsi="宋体" w:eastAsia="宋体" w:cs="宋体"/>
          <w:b/>
          <w:snapToGrid w:val="0"/>
          <w:color w:val="auto"/>
          <w:kern w:val="0"/>
          <w:sz w:val="24"/>
          <w:highlight w:val="none"/>
        </w:rPr>
      </w:pPr>
      <w:bookmarkStart w:id="48" w:name="_Toc7908"/>
      <w:bookmarkStart w:id="49" w:name="_Toc31578"/>
      <w:bookmarkStart w:id="50" w:name="_Toc83886020"/>
      <w:r>
        <w:rPr>
          <w:rFonts w:hint="eastAsia" w:ascii="宋体" w:hAnsi="宋体" w:eastAsia="宋体" w:cs="宋体"/>
          <w:b/>
          <w:snapToGrid w:val="0"/>
          <w:color w:val="auto"/>
          <w:kern w:val="0"/>
          <w:sz w:val="24"/>
          <w:highlight w:val="none"/>
        </w:rPr>
        <w:t>6、评标</w:t>
      </w:r>
      <w:bookmarkEnd w:id="48"/>
      <w:bookmarkEnd w:id="49"/>
      <w:bookmarkEnd w:id="50"/>
    </w:p>
    <w:p w14:paraId="07593630">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51" w:name="_Toc10279"/>
      <w:r>
        <w:rPr>
          <w:rFonts w:hint="eastAsia" w:ascii="宋体" w:hAnsi="宋体" w:eastAsia="宋体" w:cs="宋体"/>
          <w:b/>
          <w:bCs/>
          <w:snapToGrid w:val="0"/>
          <w:color w:val="auto"/>
          <w:kern w:val="0"/>
          <w:sz w:val="24"/>
          <w:highlight w:val="none"/>
        </w:rPr>
        <w:t>6.1评标委员会的组建</w:t>
      </w:r>
    </w:p>
    <w:bookmarkEnd w:id="51"/>
    <w:p w14:paraId="048074E8">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6.1.1评标小组由招标人依法组建，负责评标活动。</w:t>
      </w:r>
    </w:p>
    <w:p w14:paraId="4F1194DD">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6.1.2评标过程中，评标委员会成员有回避事由、擅离职守或者因健康原因不能继续评标的，招标人有权更换。被更换的评标委员会成员作出的评审结论无效，由更换后的评标委员会成员重新进行评审。</w:t>
      </w:r>
    </w:p>
    <w:p w14:paraId="7088BF0B">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6.2评标原则</w:t>
      </w:r>
    </w:p>
    <w:p w14:paraId="49160441">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6.2.1评标活动遵循公平、公正、科学和择优的原则。</w:t>
      </w:r>
    </w:p>
    <w:p w14:paraId="6CAE03CF">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6.3评标会议</w:t>
      </w:r>
    </w:p>
    <w:p w14:paraId="6AD50000">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6.3.1评标委员会原则上要推选一位组长（招标人代表不得担任评标委员会组长），评标委员会组长负责组织评标工作。</w:t>
      </w:r>
    </w:p>
    <w:p w14:paraId="086DFE1C">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6.3.2本项目采用的评标办法及否决投标条款见投标人须知前附表。评标委员会按照第四章“评标方法及评价标准”规定的方法、评审因素、标准和程序对投标文件进行客观、公正的评审和比较。第四章“评标方法及评价标准”没有规定的方法、评审因素和标准，不作为评标依据。</w:t>
      </w:r>
    </w:p>
    <w:p w14:paraId="7EBA2041">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6.3.3评标完成后，评标委员会应当向招标人提交书面评标报告和中标候选人名单。评标委员会推荐中标候选人的人数见投标人须知前附表。</w:t>
      </w:r>
    </w:p>
    <w:p w14:paraId="457464A2">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6.3.4评标委员会对投标文件作出的评审结论，应当符合有关法律、法规和招标文件的规定。评标委员会成员对所提出的评审意见承担个人责任。</w:t>
      </w:r>
    </w:p>
    <w:p w14:paraId="1D4580FB">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6.4评标过程的保密</w:t>
      </w:r>
    </w:p>
    <w:p w14:paraId="0E71E6C4">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6.4.1评标会议采用保密方式进行。评标过程中凡是与投标文件评审和比较、中标候选人推荐等评审有关的情况，以及涉及国家秘密和商业秘密信息，评标委员会成员、招标人和招标代理机构工作人员、相关监督人员等与评标有关的人员均应严格保密。</w:t>
      </w:r>
    </w:p>
    <w:p w14:paraId="42AEAEEA">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6.4.2评标工作现场进行全过程录音录像以存档备查。</w:t>
      </w:r>
    </w:p>
    <w:p w14:paraId="42792C50">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6.4.3评标过程中招标代理机构与评标委员会各司其责。招标代理机构工作人员在评标委员会专家成员独立评审期间，不得进入评标室。</w:t>
      </w:r>
    </w:p>
    <w:p w14:paraId="3DA5C2B8">
      <w:pPr>
        <w:snapToGrid w:val="0"/>
        <w:spacing w:line="360" w:lineRule="auto"/>
        <w:jc w:val="center"/>
        <w:outlineLvl w:val="1"/>
        <w:rPr>
          <w:rFonts w:ascii="宋体" w:hAnsi="宋体" w:eastAsia="宋体" w:cs="宋体"/>
          <w:bCs/>
          <w:snapToGrid w:val="0"/>
          <w:color w:val="auto"/>
          <w:kern w:val="0"/>
          <w:sz w:val="24"/>
          <w:highlight w:val="none"/>
        </w:rPr>
      </w:pPr>
      <w:bookmarkStart w:id="52" w:name="_Toc24237"/>
      <w:bookmarkStart w:id="53" w:name="_Toc83886021"/>
      <w:bookmarkStart w:id="54" w:name="_Toc911"/>
      <w:r>
        <w:rPr>
          <w:rFonts w:hint="eastAsia" w:ascii="宋体" w:hAnsi="宋体" w:eastAsia="宋体" w:cs="宋体"/>
          <w:b/>
          <w:snapToGrid w:val="0"/>
          <w:color w:val="auto"/>
          <w:kern w:val="0"/>
          <w:sz w:val="24"/>
          <w:highlight w:val="none"/>
        </w:rPr>
        <w:t>7、</w:t>
      </w:r>
      <w:bookmarkEnd w:id="52"/>
      <w:r>
        <w:rPr>
          <w:rFonts w:hint="eastAsia" w:ascii="宋体" w:hAnsi="宋体" w:eastAsia="宋体" w:cs="宋体"/>
          <w:b/>
          <w:snapToGrid w:val="0"/>
          <w:color w:val="auto"/>
          <w:kern w:val="0"/>
          <w:sz w:val="24"/>
          <w:highlight w:val="none"/>
        </w:rPr>
        <w:t>定标</w:t>
      </w:r>
      <w:bookmarkEnd w:id="53"/>
      <w:bookmarkEnd w:id="54"/>
    </w:p>
    <w:p w14:paraId="1B2BD587">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55" w:name="_Toc18809"/>
      <w:r>
        <w:rPr>
          <w:rFonts w:hint="eastAsia" w:ascii="宋体" w:hAnsi="宋体" w:eastAsia="宋体" w:cs="宋体"/>
          <w:b/>
          <w:bCs/>
          <w:snapToGrid w:val="0"/>
          <w:color w:val="auto"/>
          <w:kern w:val="0"/>
          <w:sz w:val="24"/>
          <w:highlight w:val="none"/>
        </w:rPr>
        <w:t>7.1中标候选人公示</w:t>
      </w:r>
    </w:p>
    <w:p w14:paraId="7BAB56DC">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7.1.1招标人自收到评标报告之日起3日内按评标报告推荐的中标候选人名单公示中标候选人，公示期不得少于3天（公示期间的最后1天应当为工作日，否则应当将公示期的最后1天顺延至下一个工作日）。</w:t>
      </w:r>
    </w:p>
    <w:p w14:paraId="77302650">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bookmarkStart w:id="56" w:name="_bookmark61"/>
      <w:bookmarkEnd w:id="56"/>
      <w:r>
        <w:rPr>
          <w:rFonts w:hint="eastAsia" w:ascii="宋体" w:hAnsi="宋体" w:eastAsia="宋体" w:cs="宋体"/>
          <w:b/>
          <w:bCs/>
          <w:snapToGrid w:val="0"/>
          <w:color w:val="auto"/>
          <w:kern w:val="0"/>
          <w:sz w:val="24"/>
          <w:highlight w:val="none"/>
        </w:rPr>
        <w:t>7.2定标方式</w:t>
      </w:r>
    </w:p>
    <w:p w14:paraId="0D3AB697">
      <w:pPr>
        <w:pStyle w:val="8"/>
        <w:adjustRightInd w:val="0"/>
        <w:snapToGrid w:val="0"/>
        <w:spacing w:after="0"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snapToGrid w:val="0"/>
          <w:color w:val="auto"/>
          <w:kern w:val="0"/>
          <w:sz w:val="24"/>
          <w:szCs w:val="24"/>
          <w:highlight w:val="none"/>
        </w:rPr>
        <w:t>7.2.1</w:t>
      </w:r>
      <w:r>
        <w:rPr>
          <w:rFonts w:hint="eastAsia" w:ascii="宋体" w:hAnsi="宋体" w:cs="宋体"/>
          <w:color w:val="auto"/>
          <w:kern w:val="0"/>
          <w:sz w:val="24"/>
          <w:szCs w:val="24"/>
          <w:highlight w:val="none"/>
          <w:lang w:val="zh-CN"/>
        </w:rPr>
        <w:t>定标由招标人负责，原则上应坚持评审小组推荐的第一中标候选人为中标人。</w:t>
      </w:r>
    </w:p>
    <w:p w14:paraId="207B6525">
      <w:pPr>
        <w:pStyle w:val="8"/>
        <w:adjustRightInd w:val="0"/>
        <w:snapToGrid w:val="0"/>
        <w:spacing w:after="0"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但如出现下列情形之一的，招标人将重新组织招标或按中标候选人名单排序依次确定其他中标候选人为中标人，也可以重新招标：</w:t>
      </w:r>
    </w:p>
    <w:p w14:paraId="38E40F50">
      <w:pPr>
        <w:pStyle w:val="8"/>
        <w:adjustRightInd w:val="0"/>
        <w:snapToGrid w:val="0"/>
        <w:spacing w:after="0"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（1）排名第一的中标候选人放弃中标、因不可抗力不能履行合同、不按照招标文件要求提交履约保证金的、拒绝签订合同的；</w:t>
      </w:r>
    </w:p>
    <w:p w14:paraId="202C45DC">
      <w:pPr>
        <w:pStyle w:val="8"/>
        <w:adjustRightInd w:val="0"/>
        <w:snapToGrid w:val="0"/>
        <w:spacing w:after="0"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（2）质疑成立的、被查实存在影响中标结果的违法行为等情形，不符合中标条件的。</w:t>
      </w:r>
    </w:p>
    <w:p w14:paraId="5D80BB92">
      <w:pPr>
        <w:pStyle w:val="8"/>
        <w:adjustRightInd w:val="0"/>
        <w:snapToGrid w:val="0"/>
        <w:spacing w:after="0" w:line="360" w:lineRule="auto"/>
        <w:ind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第一中标候选人的经营、财务状况发生较大变化或者存在违法行为，招标人认为可能影响其履约能力的，应当在发出中标通知书前由原评标委员会按照招标文件规定的标准和方法审查确认。</w:t>
      </w:r>
    </w:p>
    <w:p w14:paraId="2EA8C827">
      <w:pPr>
        <w:pStyle w:val="8"/>
        <w:rPr>
          <w:rFonts w:ascii="宋体" w:hAnsi="宋体" w:cs="宋体"/>
          <w:b/>
          <w:bCs/>
          <w:snapToGrid w:val="0"/>
          <w:color w:val="auto"/>
          <w:kern w:val="0"/>
          <w:sz w:val="24"/>
          <w:szCs w:val="24"/>
          <w:highlight w:val="none"/>
        </w:rPr>
      </w:pPr>
      <w:bookmarkStart w:id="57" w:name="_bookmark64"/>
      <w:bookmarkEnd w:id="57"/>
      <w:bookmarkStart w:id="58" w:name="_bookmark63"/>
      <w:bookmarkEnd w:id="58"/>
      <w:r>
        <w:rPr>
          <w:rFonts w:hint="eastAsia" w:ascii="宋体" w:hAnsi="宋体" w:cs="宋体"/>
          <w:b/>
          <w:bCs/>
          <w:snapToGrid w:val="0"/>
          <w:color w:val="auto"/>
          <w:kern w:val="0"/>
          <w:sz w:val="24"/>
          <w:szCs w:val="24"/>
          <w:highlight w:val="none"/>
        </w:rPr>
        <w:t>7.3中标通知</w:t>
      </w:r>
    </w:p>
    <w:p w14:paraId="1C133A2A">
      <w:pPr>
        <w:pStyle w:val="8"/>
        <w:adjustRightInd w:val="0"/>
        <w:snapToGrid w:val="0"/>
        <w:spacing w:after="0" w:line="360" w:lineRule="auto"/>
        <w:ind w:firstLine="480" w:firstLineChars="200"/>
        <w:jc w:val="left"/>
        <w:rPr>
          <w:rFonts w:ascii="宋体" w:hAnsi="宋体" w:cs="宋体"/>
          <w:b/>
          <w:snapToGrid w:val="0"/>
          <w:color w:val="auto"/>
          <w:kern w:val="0"/>
          <w:sz w:val="24"/>
          <w:szCs w:val="24"/>
          <w:highlight w:val="none"/>
        </w:rPr>
      </w:pPr>
      <w:r>
        <w:rPr>
          <w:rFonts w:hint="eastAsia" w:ascii="宋体" w:hAnsi="宋体" w:cs="宋体"/>
          <w:snapToGrid w:val="0"/>
          <w:color w:val="auto"/>
          <w:kern w:val="0"/>
          <w:sz w:val="24"/>
          <w:szCs w:val="24"/>
          <w:highlight w:val="none"/>
        </w:rPr>
        <w:t>7.3.1中标候选人公示期满，经招标人决标批准，</w:t>
      </w:r>
      <w:r>
        <w:rPr>
          <w:rFonts w:hint="eastAsia" w:ascii="宋体" w:hAnsi="宋体" w:cs="宋体"/>
          <w:b/>
          <w:snapToGrid w:val="0"/>
          <w:color w:val="auto"/>
          <w:kern w:val="0"/>
          <w:sz w:val="24"/>
          <w:szCs w:val="24"/>
          <w:highlight w:val="none"/>
        </w:rPr>
        <w:t>确定中标人</w:t>
      </w:r>
      <w:r>
        <w:rPr>
          <w:rFonts w:hint="eastAsia" w:ascii="宋体" w:hAnsi="宋体" w:cs="宋体"/>
          <w:snapToGrid w:val="0"/>
          <w:color w:val="auto"/>
          <w:kern w:val="0"/>
          <w:sz w:val="24"/>
          <w:szCs w:val="24"/>
          <w:highlight w:val="none"/>
        </w:rPr>
        <w:t>，在本章第4.10.1项规定的投标有效期内，招标人以书面形式向中标人发出中标通知书。</w:t>
      </w:r>
    </w:p>
    <w:p w14:paraId="28AB275D">
      <w:pPr>
        <w:snapToGrid w:val="0"/>
        <w:spacing w:line="360" w:lineRule="auto"/>
        <w:jc w:val="center"/>
        <w:outlineLvl w:val="1"/>
        <w:rPr>
          <w:rFonts w:ascii="宋体" w:hAnsi="宋体" w:eastAsia="宋体" w:cs="宋体"/>
          <w:bCs/>
          <w:snapToGrid w:val="0"/>
          <w:color w:val="auto"/>
          <w:kern w:val="0"/>
          <w:sz w:val="24"/>
          <w:highlight w:val="none"/>
        </w:rPr>
      </w:pPr>
      <w:bookmarkStart w:id="59" w:name="_bookmark66"/>
      <w:bookmarkEnd w:id="59"/>
      <w:bookmarkStart w:id="60" w:name="_Toc83886022"/>
      <w:bookmarkStart w:id="61" w:name="_Toc6008"/>
      <w:r>
        <w:rPr>
          <w:rFonts w:hint="eastAsia" w:ascii="宋体" w:hAnsi="宋体" w:eastAsia="宋体" w:cs="宋体"/>
          <w:b/>
          <w:snapToGrid w:val="0"/>
          <w:color w:val="auto"/>
          <w:kern w:val="0"/>
          <w:sz w:val="24"/>
          <w:highlight w:val="none"/>
        </w:rPr>
        <w:t>8、合同的授予</w:t>
      </w:r>
      <w:bookmarkEnd w:id="60"/>
      <w:bookmarkEnd w:id="61"/>
    </w:p>
    <w:p w14:paraId="4911E6E9">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8.1签订合同</w:t>
      </w:r>
    </w:p>
    <w:p w14:paraId="4ED46777">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8.1.1招标人和中标人应当在中标通知书发出之日起30日内，根据招标文件和中标人的投标文件订立书面合同。中标人无正当理由拒签合同，在签订合同时向招标人提出附加条件，或者不按照招标文件要求提交履约保证金的，以违约处理，招标人有权取消其中标资格，其投标保证金不予退回，已交履约保证金的，履约保证金不予退还。给招标人造成的损失超过投标保证金数额的，中标人还应当对超过部分予以赔偿。</w:t>
      </w:r>
    </w:p>
    <w:p w14:paraId="45920C82">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8.1.2发出中标通知书后，招标人无正当理由拒签合同，或者在签订合同时向中标人提出附加条件的，招标人向中标人退还投标保证金；给中标人造成损失的，还应当赔偿损失。</w:t>
      </w:r>
    </w:p>
    <w:p w14:paraId="0EF6AD9F">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8.1.3联合体中标的，联合体各方应当共同与招标人签订合同，就中标项目向招标人承担连带责任。</w:t>
      </w:r>
    </w:p>
    <w:p w14:paraId="286F70CC">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8.2履约保证金</w:t>
      </w:r>
    </w:p>
    <w:p w14:paraId="5647194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8.2.1在签订合同前，中标人应按投标人须知前附表规定的形式、金额和招标文件第六章“合同条款及格式”规定的或者事先经过招标人书面认可的履约保证金格式向招标人提交履约保证金。除投标人须知前附表另有规定外，履约保证金不超过中标合同金额的10%。联合体中标的，其履约保证金以联合体中牵头人的名义提交。</w:t>
      </w:r>
    </w:p>
    <w:p w14:paraId="00A08F9C">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8.2.2中标人不能按本章第8.2.1项要求提交履约保证金的，视为放弃中标，其投标保证金不予退还，给招标人造成的损失超过投标保证金数额的，中标人还应当对超过部分予以赔偿。</w:t>
      </w:r>
    </w:p>
    <w:p w14:paraId="2AB2019B">
      <w:pPr>
        <w:snapToGrid w:val="0"/>
        <w:spacing w:line="360" w:lineRule="auto"/>
        <w:jc w:val="center"/>
        <w:outlineLvl w:val="1"/>
        <w:rPr>
          <w:rFonts w:ascii="宋体" w:hAnsi="宋体" w:eastAsia="宋体" w:cs="宋体"/>
          <w:b/>
          <w:snapToGrid w:val="0"/>
          <w:color w:val="auto"/>
          <w:kern w:val="0"/>
          <w:sz w:val="24"/>
          <w:highlight w:val="none"/>
        </w:rPr>
      </w:pPr>
      <w:bookmarkStart w:id="62" w:name="_Toc219809801"/>
      <w:bookmarkStart w:id="63" w:name="_Toc220123241"/>
      <w:bookmarkStart w:id="64" w:name="_Toc11806"/>
      <w:bookmarkStart w:id="65" w:name="_Toc12528"/>
      <w:bookmarkStart w:id="66" w:name="_Toc83886023"/>
      <w:r>
        <w:rPr>
          <w:rFonts w:hint="eastAsia" w:ascii="宋体" w:hAnsi="宋体" w:eastAsia="宋体" w:cs="宋体"/>
          <w:b/>
          <w:snapToGrid w:val="0"/>
          <w:color w:val="auto"/>
          <w:kern w:val="0"/>
          <w:sz w:val="24"/>
          <w:highlight w:val="none"/>
        </w:rPr>
        <w:t>9、</w:t>
      </w:r>
      <w:bookmarkEnd w:id="62"/>
      <w:bookmarkEnd w:id="63"/>
      <w:bookmarkEnd w:id="64"/>
      <w:r>
        <w:rPr>
          <w:rFonts w:hint="eastAsia" w:ascii="宋体" w:hAnsi="宋体" w:eastAsia="宋体" w:cs="宋体"/>
          <w:b/>
          <w:snapToGrid w:val="0"/>
          <w:color w:val="auto"/>
          <w:kern w:val="0"/>
          <w:sz w:val="24"/>
          <w:highlight w:val="none"/>
        </w:rPr>
        <w:t>招标失败</w:t>
      </w:r>
      <w:bookmarkEnd w:id="65"/>
      <w:bookmarkEnd w:id="66"/>
      <w:bookmarkStart w:id="67" w:name="_Toc15553"/>
      <w:bookmarkStart w:id="68" w:name="_Toc219809802"/>
      <w:bookmarkStart w:id="69" w:name="_Toc220123242"/>
    </w:p>
    <w:p w14:paraId="09F4580D">
      <w:pPr>
        <w:snapToGrid w:val="0"/>
        <w:spacing w:line="360" w:lineRule="auto"/>
        <w:rPr>
          <w:rFonts w:ascii="宋体" w:hAnsi="宋体" w:eastAsia="宋体" w:cs="宋体"/>
          <w:b/>
          <w:bCs/>
          <w:snapToGrid w:val="0"/>
          <w:color w:val="auto"/>
          <w:kern w:val="0"/>
          <w:sz w:val="24"/>
          <w:highlight w:val="none"/>
        </w:rPr>
      </w:pPr>
      <w:bookmarkStart w:id="70" w:name="_Toc21538"/>
      <w:r>
        <w:rPr>
          <w:rFonts w:hint="eastAsia" w:ascii="宋体" w:hAnsi="宋体" w:eastAsia="宋体" w:cs="宋体"/>
          <w:b/>
          <w:bCs/>
          <w:snapToGrid w:val="0"/>
          <w:color w:val="auto"/>
          <w:kern w:val="0"/>
          <w:sz w:val="24"/>
          <w:highlight w:val="none"/>
        </w:rPr>
        <w:t>9.1 招标</w:t>
      </w:r>
      <w:bookmarkEnd w:id="67"/>
      <w:bookmarkEnd w:id="68"/>
      <w:bookmarkEnd w:id="69"/>
      <w:r>
        <w:rPr>
          <w:rFonts w:hint="eastAsia" w:ascii="宋体" w:hAnsi="宋体" w:eastAsia="宋体" w:cs="宋体"/>
          <w:b/>
          <w:bCs/>
          <w:snapToGrid w:val="0"/>
          <w:color w:val="auto"/>
          <w:kern w:val="0"/>
          <w:sz w:val="24"/>
          <w:highlight w:val="none"/>
        </w:rPr>
        <w:t>失败</w:t>
      </w:r>
      <w:bookmarkEnd w:id="70"/>
    </w:p>
    <w:p w14:paraId="7DE2A74C">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9.1.1有下列情形之一的，本次项目招标失败：</w:t>
      </w:r>
    </w:p>
    <w:p w14:paraId="7B391C7C">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（1）招标文件的内容不符合法律法规的规定或存在重大缺陷影响潜在投标人投标的；</w:t>
      </w:r>
    </w:p>
    <w:p w14:paraId="5906ABAB">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（2）至投标截止时间，投标人数不足3家的；</w:t>
      </w:r>
    </w:p>
    <w:p w14:paraId="6FF4AB3D">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（3）经评标委员会评审后否决所有投标的；</w:t>
      </w:r>
    </w:p>
    <w:p w14:paraId="185A477C">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（4）中标候选人放弃中标或不符合中标条件，招标人未选择其余中标候选人的。</w:t>
      </w:r>
    </w:p>
    <w:bookmarkEnd w:id="55"/>
    <w:p w14:paraId="5A75317E">
      <w:pPr>
        <w:snapToGrid w:val="0"/>
        <w:spacing w:line="360" w:lineRule="auto"/>
        <w:jc w:val="center"/>
        <w:outlineLvl w:val="1"/>
        <w:rPr>
          <w:rFonts w:ascii="宋体" w:hAnsi="宋体" w:eastAsia="宋体" w:cs="宋体"/>
          <w:b/>
          <w:snapToGrid w:val="0"/>
          <w:color w:val="auto"/>
          <w:kern w:val="0"/>
          <w:sz w:val="24"/>
          <w:highlight w:val="none"/>
        </w:rPr>
      </w:pPr>
      <w:bookmarkStart w:id="71" w:name="_bookmark65"/>
      <w:bookmarkEnd w:id="71"/>
      <w:bookmarkStart w:id="72" w:name="_bookmark62"/>
      <w:bookmarkEnd w:id="72"/>
      <w:bookmarkStart w:id="73" w:name="_Toc2986"/>
      <w:bookmarkStart w:id="74" w:name="_Toc220123244"/>
      <w:bookmarkStart w:id="75" w:name="_Toc215941254"/>
      <w:bookmarkStart w:id="76" w:name="_Toc219809804"/>
      <w:bookmarkStart w:id="77" w:name="_Toc3631"/>
      <w:bookmarkStart w:id="78" w:name="_Toc83886024"/>
      <w:r>
        <w:rPr>
          <w:rFonts w:hint="eastAsia" w:ascii="宋体" w:hAnsi="宋体" w:eastAsia="宋体" w:cs="宋体"/>
          <w:b/>
          <w:snapToGrid w:val="0"/>
          <w:color w:val="auto"/>
          <w:kern w:val="0"/>
          <w:sz w:val="24"/>
          <w:highlight w:val="none"/>
        </w:rPr>
        <w:t>10、异议、投</w:t>
      </w:r>
      <w:bookmarkEnd w:id="73"/>
      <w:bookmarkEnd w:id="74"/>
      <w:bookmarkEnd w:id="75"/>
      <w:bookmarkEnd w:id="76"/>
      <w:r>
        <w:rPr>
          <w:rFonts w:hint="eastAsia" w:ascii="宋体" w:hAnsi="宋体" w:eastAsia="宋体" w:cs="宋体"/>
          <w:b/>
          <w:snapToGrid w:val="0"/>
          <w:color w:val="auto"/>
          <w:kern w:val="0"/>
          <w:sz w:val="24"/>
          <w:highlight w:val="none"/>
        </w:rPr>
        <w:t>诉、监督</w:t>
      </w:r>
      <w:bookmarkEnd w:id="77"/>
      <w:bookmarkEnd w:id="78"/>
    </w:p>
    <w:p w14:paraId="5CF8999F">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10.1异议</w:t>
      </w:r>
    </w:p>
    <w:p w14:paraId="482A435A">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10.1.1投标人或者其他利害关系人对招标文件有异议的，应当在投标截止时间10日前以书面形式提出。招标人应当自收到异议之日起3日内作出答复；作出答复前，将暂停招标投标活动。</w:t>
      </w:r>
    </w:p>
    <w:p w14:paraId="18669E54">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10.1.2投标人对开标有异议的，应当在开标会议结束前提出，招标人当场作出答复，并制作记录。</w:t>
      </w:r>
    </w:p>
    <w:p w14:paraId="33D4ACB2">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10.1.3投标人或者其他利害关系人对评标结果有异议的，应当在中标候选人公示期间提出。招标人将在收到异议之日起3日内作出答复；作出答复前，将暂停招标投标活动。</w:t>
      </w:r>
    </w:p>
    <w:p w14:paraId="00F1FAA4">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10.1.4异议书须包括以下内容（加盖单位公章）：</w:t>
      </w:r>
    </w:p>
    <w:p w14:paraId="5E290E1D">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（1）异议人的名称、地址、邮政编码、联系人、联系电话，以及被异议人名称及联系方式；</w:t>
      </w:r>
    </w:p>
    <w:p w14:paraId="680F52A3">
      <w:pPr>
        <w:pStyle w:val="49"/>
        <w:numPr>
          <w:ilvl w:val="0"/>
          <w:numId w:val="3"/>
        </w:numPr>
        <w:spacing w:line="360" w:lineRule="auto"/>
        <w:ind w:firstLineChars="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被异议采购项目名称、编号及采购内容；</w:t>
      </w:r>
    </w:p>
    <w:p w14:paraId="2EE2364B">
      <w:pPr>
        <w:pStyle w:val="49"/>
        <w:numPr>
          <w:ilvl w:val="0"/>
          <w:numId w:val="3"/>
        </w:numPr>
        <w:spacing w:line="360" w:lineRule="auto"/>
        <w:ind w:firstLineChars="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具体的异议事项及事实依据；</w:t>
      </w:r>
    </w:p>
    <w:p w14:paraId="3749B77C">
      <w:pPr>
        <w:pStyle w:val="49"/>
        <w:numPr>
          <w:ilvl w:val="0"/>
          <w:numId w:val="3"/>
        </w:numPr>
        <w:spacing w:line="360" w:lineRule="auto"/>
        <w:ind w:firstLineChars="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认为自己合法权益受到损害或可能受到损害的相关证据材料；</w:t>
      </w:r>
    </w:p>
    <w:p w14:paraId="2210DA87">
      <w:pPr>
        <w:pStyle w:val="49"/>
        <w:numPr>
          <w:ilvl w:val="0"/>
          <w:numId w:val="3"/>
        </w:numPr>
        <w:spacing w:line="360" w:lineRule="auto"/>
        <w:ind w:firstLineChars="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提出异议的日期。</w:t>
      </w:r>
    </w:p>
    <w:p w14:paraId="7B9C35A5">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color w:val="auto"/>
          <w:sz w:val="24"/>
          <w:szCs w:val="24"/>
          <w:highlight w:val="none"/>
          <w:lang w:bidi="ar"/>
        </w:rPr>
        <w:t>投标人如未按照上述要求提交异议书，招标人（招标代理机构）有权要求投标人对材料予以修改，逾期未提交或未按照要求提交的异议函，招标人（招标代理机构）将不予受理。</w:t>
      </w:r>
    </w:p>
    <w:p w14:paraId="32C2FB85">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10.2投诉</w:t>
      </w:r>
    </w:p>
    <w:p w14:paraId="7D37EB77">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10.2.1投标人或者其他利害关系人认为招标投标活动不符合法律、行政法规规定的，可以自知道或者应当知道之日起10日内向监督人投诉。投诉应当有明确的请求和必要的证明材料。</w:t>
      </w:r>
    </w:p>
    <w:p w14:paraId="65511F60">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10.2.2投标人或者其他利害关系人对招标文件、开标和评标结果提出投诉的，应当按照投标人须知第10.1款的规定先向招标人提出异议。异议答复期间不计算在第10.2.1项规定的期限内。</w:t>
      </w:r>
    </w:p>
    <w:p w14:paraId="742D9C7C">
      <w:pPr>
        <w:pStyle w:val="8"/>
        <w:adjustRightInd w:val="0"/>
        <w:snapToGrid w:val="0"/>
        <w:spacing w:after="0" w:line="360" w:lineRule="auto"/>
        <w:ind w:firstLine="480" w:firstLineChars="200"/>
        <w:jc w:val="left"/>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10.2.3因有异议，招标人具有最终解释权，并对由此而引起的对投标人的影响不承担责任，也不解释原因。</w:t>
      </w:r>
    </w:p>
    <w:p w14:paraId="14D92F7F">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10.3纪律和监督</w:t>
      </w:r>
    </w:p>
    <w:p w14:paraId="6AFFC4B8">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10.3.1对招标人（招标代理机构）的纪律要求：招标人（招标代理机构）不得明示或者暗示其倾向或者排斥特定投标人，不得泄露招标投标活动中应当保密的情况和资料，不得与投标人串通损害国家利益、社会公共利益或者他人合法权益。</w:t>
      </w:r>
    </w:p>
    <w:p w14:paraId="712ABFC6">
      <w:pPr>
        <w:adjustRightInd w:val="0"/>
        <w:snapToGrid w:val="0"/>
        <w:spacing w:line="360" w:lineRule="auto"/>
        <w:ind w:firstLine="480" w:firstLineChars="200"/>
        <w:rPr>
          <w:rFonts w:ascii="宋体" w:hAnsi="宋体" w:eastAsia="宋体" w:cs="宋体"/>
          <w:snapToGrid w:val="0"/>
          <w:color w:val="auto"/>
          <w:kern w:val="0"/>
          <w:sz w:val="24"/>
          <w:highlight w:val="none"/>
        </w:rPr>
      </w:pPr>
      <w:bookmarkStart w:id="79" w:name="_bookmark69"/>
      <w:bookmarkEnd w:id="79"/>
      <w:r>
        <w:rPr>
          <w:rFonts w:hint="eastAsia" w:ascii="宋体" w:hAnsi="宋体" w:eastAsia="宋体" w:cs="宋体"/>
          <w:snapToGrid w:val="0"/>
          <w:color w:val="auto"/>
          <w:kern w:val="0"/>
          <w:sz w:val="24"/>
          <w:highlight w:val="none"/>
        </w:rPr>
        <w:t>10.3.2对投标人的纪律要求：投标人不得相互串通投标或者与招标人串通投标，不得向招标人或者评标委员会成员行贿谋取中标，不得以他人名义投标或者以其他方式弄虚作假骗取中标；投标人不得以任何方式干扰、影响评标工作。</w:t>
      </w:r>
      <w:bookmarkStart w:id="80" w:name="_bookmark70"/>
      <w:bookmarkEnd w:id="80"/>
    </w:p>
    <w:p w14:paraId="100C15BB">
      <w:pPr>
        <w:adjustRightInd w:val="0"/>
        <w:snapToGrid w:val="0"/>
        <w:spacing w:line="360" w:lineRule="auto"/>
        <w:ind w:firstLine="480" w:firstLineChars="2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10.3.3对评标委员会成员的纪律要求：评标委员会成员不得私下接触投标人，不得向招标人征询确定中标人的意向，不得接受任何单位或者个人明示或者暗示提出的倾向或者排斥特定投标人的要求，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四章“评标办法及评价标准”没有规定的评审因素和标准进行评标。</w:t>
      </w:r>
    </w:p>
    <w:p w14:paraId="3AAA51B8">
      <w:pPr>
        <w:adjustRightInd w:val="0"/>
        <w:snapToGrid w:val="0"/>
        <w:spacing w:line="360" w:lineRule="auto"/>
        <w:ind w:firstLine="480" w:firstLineChars="200"/>
        <w:rPr>
          <w:rFonts w:ascii="宋体" w:hAnsi="宋体" w:eastAsia="宋体" w:cs="宋体"/>
          <w:snapToGrid w:val="0"/>
          <w:color w:val="auto"/>
          <w:kern w:val="0"/>
          <w:sz w:val="24"/>
          <w:highlight w:val="none"/>
        </w:rPr>
      </w:pPr>
      <w:bookmarkStart w:id="81" w:name="_bookmark71"/>
      <w:bookmarkEnd w:id="81"/>
      <w:r>
        <w:rPr>
          <w:rFonts w:hint="eastAsia" w:ascii="宋体" w:hAnsi="宋体" w:eastAsia="宋体" w:cs="宋体"/>
          <w:snapToGrid w:val="0"/>
          <w:color w:val="auto"/>
          <w:kern w:val="0"/>
          <w:sz w:val="24"/>
          <w:highlight w:val="none"/>
        </w:rPr>
        <w:t>10.3.4对与评标活动有关的工作人员的纪律要求：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30DCED2">
      <w:pPr>
        <w:snapToGrid w:val="0"/>
        <w:spacing w:line="360" w:lineRule="auto"/>
        <w:jc w:val="center"/>
        <w:outlineLvl w:val="1"/>
        <w:rPr>
          <w:rFonts w:ascii="宋体" w:hAnsi="宋体" w:eastAsia="宋体" w:cs="宋体"/>
          <w:b/>
          <w:snapToGrid w:val="0"/>
          <w:color w:val="auto"/>
          <w:kern w:val="0"/>
          <w:sz w:val="24"/>
          <w:highlight w:val="none"/>
        </w:rPr>
      </w:pPr>
      <w:bookmarkStart w:id="82" w:name="_bookmark72"/>
      <w:bookmarkEnd w:id="82"/>
      <w:bookmarkStart w:id="83" w:name="_bookmark73"/>
      <w:bookmarkEnd w:id="83"/>
      <w:bookmarkStart w:id="84" w:name="_bookmark74"/>
      <w:bookmarkEnd w:id="84"/>
      <w:bookmarkStart w:id="85" w:name="_Toc83886025"/>
      <w:bookmarkStart w:id="86" w:name="_Toc24016"/>
      <w:r>
        <w:rPr>
          <w:rFonts w:hint="eastAsia" w:ascii="宋体" w:hAnsi="宋体" w:eastAsia="宋体" w:cs="宋体"/>
          <w:b/>
          <w:snapToGrid w:val="0"/>
          <w:color w:val="auto"/>
          <w:kern w:val="0"/>
          <w:sz w:val="24"/>
          <w:highlight w:val="none"/>
        </w:rPr>
        <w:t>11、需要补充的其他内容</w:t>
      </w:r>
      <w:bookmarkEnd w:id="85"/>
      <w:bookmarkEnd w:id="86"/>
    </w:p>
    <w:p w14:paraId="33C41300">
      <w:pPr>
        <w:keepNext/>
        <w:keepLines/>
        <w:adjustRightInd w:val="0"/>
        <w:snapToGrid w:val="0"/>
        <w:spacing w:line="360" w:lineRule="auto"/>
        <w:jc w:val="left"/>
        <w:outlineLvl w:val="2"/>
        <w:rPr>
          <w:rFonts w:ascii="宋体" w:hAnsi="宋体" w:eastAsia="宋体" w:cs="宋体"/>
          <w:b/>
          <w:bCs/>
          <w:snapToGrid w:val="0"/>
          <w:color w:val="auto"/>
          <w:kern w:val="0"/>
          <w:sz w:val="24"/>
          <w:highlight w:val="none"/>
        </w:rPr>
      </w:pPr>
      <w:r>
        <w:rPr>
          <w:rFonts w:hint="eastAsia" w:ascii="宋体" w:hAnsi="宋体" w:eastAsia="宋体" w:cs="宋体"/>
          <w:b/>
          <w:bCs/>
          <w:snapToGrid w:val="0"/>
          <w:color w:val="auto"/>
          <w:kern w:val="0"/>
          <w:sz w:val="24"/>
          <w:highlight w:val="none"/>
        </w:rPr>
        <w:t>11.1需要补充的其他内容</w:t>
      </w:r>
    </w:p>
    <w:p w14:paraId="0419B022">
      <w:pPr>
        <w:adjustRightInd w:val="0"/>
        <w:snapToGrid w:val="0"/>
        <w:spacing w:line="360" w:lineRule="auto"/>
        <w:ind w:firstLine="480" w:firstLineChars="200"/>
        <w:jc w:val="left"/>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11.1.1需要补充的其他内容：见投标人须知前附表。</w:t>
      </w:r>
    </w:p>
    <w:p w14:paraId="6886C69D">
      <w:pPr>
        <w:pStyle w:val="3"/>
        <w:numPr>
          <w:ilvl w:val="0"/>
          <w:numId w:val="4"/>
        </w:numPr>
        <w:tabs>
          <w:tab w:val="left" w:pos="2544"/>
          <w:tab w:val="center" w:pos="4320"/>
        </w:tabs>
        <w:adjustRightInd w:val="0"/>
        <w:snapToGrid w:val="0"/>
        <w:spacing w:before="0" w:after="0" w:line="360" w:lineRule="auto"/>
        <w:rPr>
          <w:rFonts w:ascii="宋体" w:hAnsi="宋体" w:cs="宋体"/>
          <w:b w:val="0"/>
          <w:bCs/>
          <w:color w:val="auto"/>
          <w:sz w:val="32"/>
          <w:highlight w:val="none"/>
        </w:rPr>
      </w:pPr>
      <w:r>
        <w:rPr>
          <w:rFonts w:hint="eastAsia" w:ascii="宋体" w:hAnsi="宋体" w:cs="宋体"/>
          <w:b w:val="0"/>
          <w:bCs/>
          <w:color w:val="auto"/>
          <w:sz w:val="32"/>
          <w:highlight w:val="none"/>
        </w:rPr>
        <w:br w:type="page"/>
      </w:r>
      <w:r>
        <w:rPr>
          <w:rFonts w:hint="eastAsia" w:ascii="宋体" w:hAnsi="宋体" w:cs="宋体"/>
          <w:b w:val="0"/>
          <w:bCs/>
          <w:color w:val="auto"/>
          <w:sz w:val="32"/>
          <w:highlight w:val="none"/>
        </w:rPr>
        <w:t xml:space="preserve"> 用户需求及技术要求</w:t>
      </w:r>
    </w:p>
    <w:p w14:paraId="157E7311">
      <w:pPr>
        <w:numPr>
          <w:ilvl w:val="0"/>
          <w:numId w:val="5"/>
        </w:numPr>
        <w:spacing w:line="440" w:lineRule="exact"/>
        <w:rPr>
          <w:rFonts w:ascii="宋体" w:hAnsi="宋体" w:eastAsia="宋体" w:cs="宋体"/>
          <w:b/>
          <w:bCs/>
          <w:color w:val="auto"/>
          <w:sz w:val="24"/>
          <w:highlight w:val="none"/>
        </w:rPr>
      </w:pPr>
      <w:bookmarkStart w:id="87" w:name="_Toc26319"/>
      <w:bookmarkStart w:id="88" w:name="_Toc83886029"/>
      <w:r>
        <w:rPr>
          <w:rFonts w:hint="eastAsia" w:ascii="宋体" w:hAnsi="宋体" w:eastAsia="宋体" w:cs="宋体"/>
          <w:b/>
          <w:bCs/>
          <w:color w:val="auto"/>
          <w:sz w:val="24"/>
          <w:highlight w:val="none"/>
        </w:rPr>
        <w:t>项目概况</w:t>
      </w:r>
    </w:p>
    <w:p w14:paraId="2F111A95">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因环保要求，发电公司拟采购2025年污染源（废气）在线检测系统运维服务，用于8台机组废气监测系统的维护。</w:t>
      </w:r>
    </w:p>
    <w:p w14:paraId="3E35A3F1">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采购数量：8台</w:t>
      </w:r>
    </w:p>
    <w:p w14:paraId="2ADF17EA">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预算价格：120万元</w:t>
      </w:r>
    </w:p>
    <w:p w14:paraId="4BA52ACC">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规格型号：</w:t>
      </w:r>
    </w:p>
    <w:tbl>
      <w:tblPr>
        <w:tblStyle w:val="25"/>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31"/>
        <w:gridCol w:w="4042"/>
        <w:gridCol w:w="1189"/>
        <w:gridCol w:w="1727"/>
        <w:gridCol w:w="1267"/>
      </w:tblGrid>
      <w:tr w14:paraId="7D3132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869" w:type="pct"/>
            <w:shd w:val="clear" w:color="auto" w:fill="auto"/>
            <w:vAlign w:val="center"/>
          </w:tcPr>
          <w:p w14:paraId="1A67B63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029" w:type="pct"/>
            <w:shd w:val="clear" w:color="auto" w:fill="auto"/>
            <w:vAlign w:val="center"/>
          </w:tcPr>
          <w:p w14:paraId="17C546BA">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型号规格</w:t>
            </w:r>
          </w:p>
        </w:tc>
        <w:tc>
          <w:tcPr>
            <w:tcW w:w="597" w:type="pct"/>
            <w:shd w:val="clear" w:color="auto" w:fill="auto"/>
            <w:vAlign w:val="center"/>
          </w:tcPr>
          <w:p w14:paraId="063707A5">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67" w:type="pct"/>
            <w:shd w:val="clear" w:color="auto" w:fill="auto"/>
            <w:vAlign w:val="center"/>
          </w:tcPr>
          <w:p w14:paraId="082CEFA7">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方式</w:t>
            </w:r>
          </w:p>
        </w:tc>
        <w:tc>
          <w:tcPr>
            <w:tcW w:w="636" w:type="pct"/>
            <w:shd w:val="clear" w:color="auto" w:fill="auto"/>
            <w:vAlign w:val="center"/>
          </w:tcPr>
          <w:p w14:paraId="3EF2A1AD">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年限</w:t>
            </w:r>
          </w:p>
        </w:tc>
      </w:tr>
      <w:tr w14:paraId="145DF8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5" w:hRule="atLeast"/>
          <w:jc w:val="center"/>
        </w:trPr>
        <w:tc>
          <w:tcPr>
            <w:tcW w:w="869" w:type="pct"/>
            <w:shd w:val="clear" w:color="auto" w:fill="auto"/>
            <w:vAlign w:val="center"/>
          </w:tcPr>
          <w:p w14:paraId="637205F7">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废气在线监测系统及配套系统驻场运维服务</w:t>
            </w:r>
          </w:p>
        </w:tc>
        <w:tc>
          <w:tcPr>
            <w:tcW w:w="2029" w:type="pct"/>
            <w:shd w:val="clear" w:color="auto" w:fill="auto"/>
            <w:vAlign w:val="center"/>
          </w:tcPr>
          <w:p w14:paraId="285BBCF5">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聚光稀释法烟气连续监测系统</w:t>
            </w:r>
          </w:p>
          <w:p w14:paraId="626CCFE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CEMS-2000 D</w:t>
            </w:r>
          </w:p>
        </w:tc>
        <w:tc>
          <w:tcPr>
            <w:tcW w:w="597" w:type="pct"/>
            <w:shd w:val="clear" w:color="auto" w:fill="auto"/>
            <w:vAlign w:val="center"/>
          </w:tcPr>
          <w:p w14:paraId="036FD285">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8套</w:t>
            </w:r>
          </w:p>
        </w:tc>
        <w:tc>
          <w:tcPr>
            <w:tcW w:w="867" w:type="pct"/>
            <w:shd w:val="clear" w:color="auto" w:fill="auto"/>
            <w:vAlign w:val="center"/>
          </w:tcPr>
          <w:p w14:paraId="73EBDB61">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运行维护</w:t>
            </w:r>
          </w:p>
        </w:tc>
        <w:tc>
          <w:tcPr>
            <w:tcW w:w="636" w:type="pct"/>
            <w:shd w:val="clear" w:color="auto" w:fill="auto"/>
            <w:vAlign w:val="center"/>
          </w:tcPr>
          <w:p w14:paraId="3A4C18BE">
            <w:pPr>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1年</w:t>
            </w:r>
          </w:p>
        </w:tc>
      </w:tr>
    </w:tbl>
    <w:p w14:paraId="0347EE20">
      <w:pPr>
        <w:widowControl/>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设备及服务清单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0"/>
        <w:gridCol w:w="3321"/>
        <w:gridCol w:w="3321"/>
      </w:tblGrid>
      <w:tr w14:paraId="2656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F4D371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名称</w:t>
            </w:r>
          </w:p>
        </w:tc>
        <w:tc>
          <w:tcPr>
            <w:tcW w:w="3321" w:type="dxa"/>
            <w:vAlign w:val="center"/>
          </w:tcPr>
          <w:p w14:paraId="16BF3BE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规格</w:t>
            </w:r>
          </w:p>
        </w:tc>
        <w:tc>
          <w:tcPr>
            <w:tcW w:w="3321" w:type="dxa"/>
            <w:vAlign w:val="center"/>
          </w:tcPr>
          <w:p w14:paraId="73E695F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数量</w:t>
            </w:r>
          </w:p>
        </w:tc>
      </w:tr>
      <w:tr w14:paraId="7C545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7D4742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标气（O2）低</w:t>
            </w:r>
          </w:p>
        </w:tc>
        <w:tc>
          <w:tcPr>
            <w:tcW w:w="3321" w:type="dxa"/>
            <w:vAlign w:val="center"/>
          </w:tcPr>
          <w:p w14:paraId="4810610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766BA4A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67B4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007AEA2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标气(02）中</w:t>
            </w:r>
          </w:p>
        </w:tc>
        <w:tc>
          <w:tcPr>
            <w:tcW w:w="3321" w:type="dxa"/>
            <w:vAlign w:val="center"/>
          </w:tcPr>
          <w:p w14:paraId="74CC298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2FB70D3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6C3E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0" w:type="dxa"/>
            <w:vAlign w:val="center"/>
          </w:tcPr>
          <w:p w14:paraId="627FA4E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标气(02）高</w:t>
            </w:r>
          </w:p>
        </w:tc>
        <w:tc>
          <w:tcPr>
            <w:tcW w:w="3321" w:type="dxa"/>
            <w:vAlign w:val="center"/>
          </w:tcPr>
          <w:p w14:paraId="336BB06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735B455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64瓶</w:t>
            </w:r>
          </w:p>
        </w:tc>
      </w:tr>
      <w:tr w14:paraId="7B86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0B1848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标气（SO2）高</w:t>
            </w:r>
          </w:p>
        </w:tc>
        <w:tc>
          <w:tcPr>
            <w:tcW w:w="3321" w:type="dxa"/>
            <w:vAlign w:val="center"/>
          </w:tcPr>
          <w:p w14:paraId="7466BA5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7D666E3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64瓶</w:t>
            </w:r>
          </w:p>
        </w:tc>
      </w:tr>
      <w:tr w14:paraId="4FCC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6D98C1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标气（SO2）中</w:t>
            </w:r>
          </w:p>
        </w:tc>
        <w:tc>
          <w:tcPr>
            <w:tcW w:w="3321" w:type="dxa"/>
            <w:vAlign w:val="center"/>
          </w:tcPr>
          <w:p w14:paraId="3120590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68CCBF2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69AA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F6DACC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标气（SO2）低</w:t>
            </w:r>
          </w:p>
        </w:tc>
        <w:tc>
          <w:tcPr>
            <w:tcW w:w="3321" w:type="dxa"/>
            <w:vAlign w:val="center"/>
          </w:tcPr>
          <w:p w14:paraId="3A7202C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17763EE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0E7D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10F896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标气（NO）高</w:t>
            </w:r>
          </w:p>
        </w:tc>
        <w:tc>
          <w:tcPr>
            <w:tcW w:w="3321" w:type="dxa"/>
            <w:vAlign w:val="center"/>
          </w:tcPr>
          <w:p w14:paraId="00770FD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699BB6D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64瓶</w:t>
            </w:r>
          </w:p>
        </w:tc>
      </w:tr>
      <w:tr w14:paraId="1126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41C712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标气（NO）中</w:t>
            </w:r>
          </w:p>
        </w:tc>
        <w:tc>
          <w:tcPr>
            <w:tcW w:w="3321" w:type="dxa"/>
            <w:vAlign w:val="center"/>
          </w:tcPr>
          <w:p w14:paraId="31B3C54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6325504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6670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CA39EE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标气（NO）低</w:t>
            </w:r>
          </w:p>
        </w:tc>
        <w:tc>
          <w:tcPr>
            <w:tcW w:w="3321" w:type="dxa"/>
            <w:vAlign w:val="center"/>
          </w:tcPr>
          <w:p w14:paraId="6B5766A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473D031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754F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79666A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标气（N2）</w:t>
            </w:r>
          </w:p>
        </w:tc>
        <w:tc>
          <w:tcPr>
            <w:tcW w:w="3321" w:type="dxa"/>
            <w:vAlign w:val="center"/>
          </w:tcPr>
          <w:p w14:paraId="300FD54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693416B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62B5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CEB4F1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NOx分析仪臭氧模块</w:t>
            </w:r>
          </w:p>
        </w:tc>
        <w:tc>
          <w:tcPr>
            <w:tcW w:w="3321" w:type="dxa"/>
            <w:vAlign w:val="center"/>
          </w:tcPr>
          <w:p w14:paraId="45CF7B5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106P206012E</w:t>
            </w:r>
          </w:p>
        </w:tc>
        <w:tc>
          <w:tcPr>
            <w:tcW w:w="3321" w:type="dxa"/>
            <w:vAlign w:val="center"/>
          </w:tcPr>
          <w:p w14:paraId="6DDD5E0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1226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02D8F98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LEEG 压力变送器</w:t>
            </w:r>
          </w:p>
        </w:tc>
        <w:tc>
          <w:tcPr>
            <w:tcW w:w="3321" w:type="dxa"/>
            <w:vAlign w:val="center"/>
          </w:tcPr>
          <w:p w14:paraId="4E55312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DMP305X</w:t>
            </w:r>
          </w:p>
        </w:tc>
        <w:tc>
          <w:tcPr>
            <w:tcW w:w="3321" w:type="dxa"/>
            <w:vAlign w:val="center"/>
          </w:tcPr>
          <w:p w14:paraId="4EE5C67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6229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ED4873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NOx分析仪检测模块</w:t>
            </w:r>
          </w:p>
        </w:tc>
        <w:tc>
          <w:tcPr>
            <w:tcW w:w="3321" w:type="dxa"/>
            <w:vAlign w:val="center"/>
          </w:tcPr>
          <w:p w14:paraId="2357694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175227D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5021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57D9F1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NOx分析仪显示屏组件</w:t>
            </w:r>
          </w:p>
        </w:tc>
        <w:tc>
          <w:tcPr>
            <w:tcW w:w="3321" w:type="dxa"/>
            <w:vAlign w:val="center"/>
          </w:tcPr>
          <w:p w14:paraId="1FCA840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6927AB0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5D54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F49149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SO2分析仪显示屏组件</w:t>
            </w:r>
          </w:p>
        </w:tc>
        <w:tc>
          <w:tcPr>
            <w:tcW w:w="3321" w:type="dxa"/>
            <w:vAlign w:val="center"/>
          </w:tcPr>
          <w:p w14:paraId="2995BB0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08D3BD6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6838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14CC03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SO2分析仪检测模块</w:t>
            </w:r>
          </w:p>
        </w:tc>
        <w:tc>
          <w:tcPr>
            <w:tcW w:w="3321" w:type="dxa"/>
            <w:vAlign w:val="center"/>
          </w:tcPr>
          <w:p w14:paraId="503C7AB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4584E69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28BE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BA44E5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SO2分析仪直流开关电源</w:t>
            </w:r>
          </w:p>
        </w:tc>
        <w:tc>
          <w:tcPr>
            <w:tcW w:w="3321" w:type="dxa"/>
            <w:vAlign w:val="center"/>
          </w:tcPr>
          <w:p w14:paraId="14FA432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685A500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70C3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743948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NOx分析仪直流开关电源</w:t>
            </w:r>
          </w:p>
        </w:tc>
        <w:tc>
          <w:tcPr>
            <w:tcW w:w="3321" w:type="dxa"/>
            <w:vAlign w:val="center"/>
          </w:tcPr>
          <w:p w14:paraId="627B42C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7F6C67E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442D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D48E8C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工业平板电脑</w:t>
            </w:r>
          </w:p>
        </w:tc>
        <w:tc>
          <w:tcPr>
            <w:tcW w:w="3321" w:type="dxa"/>
            <w:vAlign w:val="center"/>
          </w:tcPr>
          <w:p w14:paraId="391537A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TPC60000</w:t>
            </w:r>
          </w:p>
        </w:tc>
        <w:tc>
          <w:tcPr>
            <w:tcW w:w="3321" w:type="dxa"/>
            <w:vAlign w:val="center"/>
          </w:tcPr>
          <w:p w14:paraId="0BA125B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40E0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0601A10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湿度模块</w:t>
            </w:r>
          </w:p>
        </w:tc>
        <w:tc>
          <w:tcPr>
            <w:tcW w:w="3321" w:type="dxa"/>
            <w:vAlign w:val="center"/>
          </w:tcPr>
          <w:p w14:paraId="4855F77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PH-200</w:t>
            </w:r>
          </w:p>
        </w:tc>
        <w:tc>
          <w:tcPr>
            <w:tcW w:w="3321" w:type="dxa"/>
            <w:vAlign w:val="center"/>
          </w:tcPr>
          <w:p w14:paraId="01F1578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5CE4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B621E4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湿度传感器</w:t>
            </w:r>
          </w:p>
        </w:tc>
        <w:tc>
          <w:tcPr>
            <w:tcW w:w="3321" w:type="dxa"/>
            <w:vAlign w:val="center"/>
          </w:tcPr>
          <w:p w14:paraId="48579F8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PH-200</w:t>
            </w:r>
          </w:p>
        </w:tc>
        <w:tc>
          <w:tcPr>
            <w:tcW w:w="3321" w:type="dxa"/>
            <w:vAlign w:val="center"/>
          </w:tcPr>
          <w:p w14:paraId="3FB33C8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04B0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4BD7CD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压力传感器</w:t>
            </w:r>
          </w:p>
        </w:tc>
        <w:tc>
          <w:tcPr>
            <w:tcW w:w="3321" w:type="dxa"/>
            <w:vAlign w:val="center"/>
          </w:tcPr>
          <w:p w14:paraId="453C689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SMP131</w:t>
            </w:r>
          </w:p>
        </w:tc>
        <w:tc>
          <w:tcPr>
            <w:tcW w:w="3321" w:type="dxa"/>
            <w:vAlign w:val="center"/>
          </w:tcPr>
          <w:p w14:paraId="3A88052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5943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89EAA9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温度传感器</w:t>
            </w:r>
          </w:p>
        </w:tc>
        <w:tc>
          <w:tcPr>
            <w:tcW w:w="3321" w:type="dxa"/>
            <w:vAlign w:val="center"/>
          </w:tcPr>
          <w:p w14:paraId="1BDA76B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JTR1002</w:t>
            </w:r>
          </w:p>
        </w:tc>
        <w:tc>
          <w:tcPr>
            <w:tcW w:w="3321" w:type="dxa"/>
            <w:vAlign w:val="center"/>
          </w:tcPr>
          <w:p w14:paraId="03A8B79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8个</w:t>
            </w:r>
          </w:p>
        </w:tc>
      </w:tr>
      <w:tr w14:paraId="5BFC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F903B2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烟尘分析仪</w:t>
            </w:r>
          </w:p>
        </w:tc>
        <w:tc>
          <w:tcPr>
            <w:tcW w:w="3321" w:type="dxa"/>
            <w:vAlign w:val="center"/>
          </w:tcPr>
          <w:p w14:paraId="06EE896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D-300</w:t>
            </w:r>
          </w:p>
        </w:tc>
        <w:tc>
          <w:tcPr>
            <w:tcW w:w="3321" w:type="dxa"/>
            <w:vAlign w:val="center"/>
          </w:tcPr>
          <w:p w14:paraId="4883CE3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3EF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20C688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集线器模块</w:t>
            </w:r>
          </w:p>
        </w:tc>
        <w:tc>
          <w:tcPr>
            <w:tcW w:w="3321" w:type="dxa"/>
            <w:vAlign w:val="center"/>
          </w:tcPr>
          <w:p w14:paraId="45FC1B5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33BD39E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2D49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434FA6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温度模块</w:t>
            </w:r>
          </w:p>
        </w:tc>
        <w:tc>
          <w:tcPr>
            <w:tcW w:w="3321" w:type="dxa"/>
            <w:vAlign w:val="center"/>
          </w:tcPr>
          <w:p w14:paraId="02FBA83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24EC83A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6478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BD6338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PLC模块</w:t>
            </w:r>
          </w:p>
        </w:tc>
        <w:tc>
          <w:tcPr>
            <w:tcW w:w="3321" w:type="dxa"/>
            <w:vAlign w:val="center"/>
          </w:tcPr>
          <w:p w14:paraId="104A824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SLMATIC S7-200</w:t>
            </w:r>
          </w:p>
        </w:tc>
        <w:tc>
          <w:tcPr>
            <w:tcW w:w="3321" w:type="dxa"/>
            <w:vAlign w:val="center"/>
          </w:tcPr>
          <w:p w14:paraId="3444B38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0797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4E3C95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CKT电磁阀</w:t>
            </w:r>
          </w:p>
        </w:tc>
        <w:tc>
          <w:tcPr>
            <w:tcW w:w="3321" w:type="dxa"/>
            <w:vAlign w:val="center"/>
          </w:tcPr>
          <w:p w14:paraId="0CC8FD6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AB41-02-4</w:t>
            </w:r>
          </w:p>
        </w:tc>
        <w:tc>
          <w:tcPr>
            <w:tcW w:w="3321" w:type="dxa"/>
            <w:vAlign w:val="center"/>
          </w:tcPr>
          <w:p w14:paraId="49B7953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40只</w:t>
            </w:r>
          </w:p>
        </w:tc>
      </w:tr>
      <w:tr w14:paraId="7DE7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0F877FF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氧分析仪</w:t>
            </w:r>
          </w:p>
        </w:tc>
        <w:tc>
          <w:tcPr>
            <w:tcW w:w="3321" w:type="dxa"/>
            <w:vAlign w:val="center"/>
          </w:tcPr>
          <w:p w14:paraId="09DD22C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HMS-200</w:t>
            </w:r>
          </w:p>
        </w:tc>
        <w:tc>
          <w:tcPr>
            <w:tcW w:w="3321" w:type="dxa"/>
            <w:vAlign w:val="center"/>
          </w:tcPr>
          <w:p w14:paraId="188C0FF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8台</w:t>
            </w:r>
          </w:p>
        </w:tc>
      </w:tr>
      <w:tr w14:paraId="557F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A749E4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门禁系统</w:t>
            </w:r>
          </w:p>
        </w:tc>
        <w:tc>
          <w:tcPr>
            <w:tcW w:w="3321" w:type="dxa"/>
            <w:vAlign w:val="center"/>
          </w:tcPr>
          <w:p w14:paraId="4D0CBDE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NX7</w:t>
            </w:r>
          </w:p>
        </w:tc>
        <w:tc>
          <w:tcPr>
            <w:tcW w:w="3321" w:type="dxa"/>
            <w:vAlign w:val="center"/>
          </w:tcPr>
          <w:p w14:paraId="0621381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3套</w:t>
            </w:r>
          </w:p>
        </w:tc>
      </w:tr>
      <w:tr w14:paraId="4EA0E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76AF9E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零气发生器</w:t>
            </w:r>
          </w:p>
        </w:tc>
        <w:tc>
          <w:tcPr>
            <w:tcW w:w="3321" w:type="dxa"/>
            <w:vAlign w:val="center"/>
          </w:tcPr>
          <w:p w14:paraId="748FBC2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S-100</w:t>
            </w:r>
          </w:p>
        </w:tc>
        <w:tc>
          <w:tcPr>
            <w:tcW w:w="3321" w:type="dxa"/>
            <w:vAlign w:val="center"/>
          </w:tcPr>
          <w:p w14:paraId="103CE45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8台</w:t>
            </w:r>
          </w:p>
        </w:tc>
      </w:tr>
      <w:tr w14:paraId="4962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9FE90E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温控器</w:t>
            </w:r>
          </w:p>
        </w:tc>
        <w:tc>
          <w:tcPr>
            <w:tcW w:w="3321" w:type="dxa"/>
            <w:vAlign w:val="center"/>
          </w:tcPr>
          <w:p w14:paraId="6E63F3A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TK4S</w:t>
            </w:r>
          </w:p>
        </w:tc>
        <w:tc>
          <w:tcPr>
            <w:tcW w:w="3321" w:type="dxa"/>
            <w:vAlign w:val="center"/>
          </w:tcPr>
          <w:p w14:paraId="0FD8865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16只</w:t>
            </w:r>
          </w:p>
        </w:tc>
      </w:tr>
      <w:tr w14:paraId="5500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0D94EC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采样探头加热模块</w:t>
            </w:r>
          </w:p>
        </w:tc>
        <w:tc>
          <w:tcPr>
            <w:tcW w:w="3321" w:type="dxa"/>
            <w:vAlign w:val="center"/>
          </w:tcPr>
          <w:p w14:paraId="236B54E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779E0FC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3D14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F60ADC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氧化锆头及探杆</w:t>
            </w:r>
          </w:p>
        </w:tc>
        <w:tc>
          <w:tcPr>
            <w:tcW w:w="3321" w:type="dxa"/>
            <w:vAlign w:val="center"/>
          </w:tcPr>
          <w:p w14:paraId="05A9E39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559CF2E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219E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9226F9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温湿流皮托管</w:t>
            </w:r>
          </w:p>
        </w:tc>
        <w:tc>
          <w:tcPr>
            <w:tcW w:w="3321" w:type="dxa"/>
            <w:vAlign w:val="center"/>
          </w:tcPr>
          <w:p w14:paraId="31D936B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6D81B45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6FBD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0A5DE4D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音速小孔过滤网</w:t>
            </w:r>
          </w:p>
        </w:tc>
        <w:tc>
          <w:tcPr>
            <w:tcW w:w="3321" w:type="dxa"/>
            <w:vAlign w:val="center"/>
          </w:tcPr>
          <w:p w14:paraId="412C3FA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5A893FA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8个</w:t>
            </w:r>
          </w:p>
        </w:tc>
      </w:tr>
      <w:tr w14:paraId="60CF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9A10B8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音速小孔组件</w:t>
            </w:r>
          </w:p>
        </w:tc>
        <w:tc>
          <w:tcPr>
            <w:tcW w:w="3321" w:type="dxa"/>
            <w:vAlign w:val="center"/>
          </w:tcPr>
          <w:p w14:paraId="1973685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01392BE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4237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C27937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音速小孔密封圈</w:t>
            </w:r>
          </w:p>
        </w:tc>
        <w:tc>
          <w:tcPr>
            <w:tcW w:w="3321" w:type="dxa"/>
            <w:vAlign w:val="center"/>
          </w:tcPr>
          <w:p w14:paraId="04C217E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3A560E1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32个</w:t>
            </w:r>
          </w:p>
        </w:tc>
      </w:tr>
      <w:tr w14:paraId="6A3C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08D9401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采样探头滤芯</w:t>
            </w:r>
          </w:p>
        </w:tc>
        <w:tc>
          <w:tcPr>
            <w:tcW w:w="3321" w:type="dxa"/>
            <w:vAlign w:val="center"/>
          </w:tcPr>
          <w:p w14:paraId="6F9F3FB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250DA08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33D2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88087D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烟尘仪测量板</w:t>
            </w:r>
          </w:p>
        </w:tc>
        <w:tc>
          <w:tcPr>
            <w:tcW w:w="3321" w:type="dxa"/>
            <w:vAlign w:val="center"/>
          </w:tcPr>
          <w:p w14:paraId="4BD8F52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0C125C9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42A0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B14925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SO2分析仪流量控制板</w:t>
            </w:r>
          </w:p>
        </w:tc>
        <w:tc>
          <w:tcPr>
            <w:tcW w:w="3321" w:type="dxa"/>
            <w:vAlign w:val="center"/>
          </w:tcPr>
          <w:p w14:paraId="30905F3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6F6022D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1236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D3D416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NOx分析仪流量控制板</w:t>
            </w:r>
          </w:p>
        </w:tc>
        <w:tc>
          <w:tcPr>
            <w:tcW w:w="3321" w:type="dxa"/>
            <w:vAlign w:val="center"/>
          </w:tcPr>
          <w:p w14:paraId="774C4AF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6A8256C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37DF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619513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SO2分析仪测量电路板</w:t>
            </w:r>
          </w:p>
        </w:tc>
        <w:tc>
          <w:tcPr>
            <w:tcW w:w="3321" w:type="dxa"/>
            <w:vAlign w:val="center"/>
          </w:tcPr>
          <w:p w14:paraId="46F4AC2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3228612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1BEB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D7D007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NOx分析仪测量电路板</w:t>
            </w:r>
          </w:p>
        </w:tc>
        <w:tc>
          <w:tcPr>
            <w:tcW w:w="3321" w:type="dxa"/>
            <w:vAlign w:val="center"/>
          </w:tcPr>
          <w:p w14:paraId="761B742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5E7A00C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747A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AF197C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NOx钼转化炉</w:t>
            </w:r>
          </w:p>
        </w:tc>
        <w:tc>
          <w:tcPr>
            <w:tcW w:w="3321" w:type="dxa"/>
            <w:vAlign w:val="center"/>
          </w:tcPr>
          <w:p w14:paraId="1723A4F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31047CF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467E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091BB7C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SO2分析仪驱动板</w:t>
            </w:r>
          </w:p>
        </w:tc>
        <w:tc>
          <w:tcPr>
            <w:tcW w:w="3321" w:type="dxa"/>
            <w:vAlign w:val="center"/>
          </w:tcPr>
          <w:p w14:paraId="26662C0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4811B72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6373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29F924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NOx分析仪驱动板</w:t>
            </w:r>
          </w:p>
        </w:tc>
        <w:tc>
          <w:tcPr>
            <w:tcW w:w="3321" w:type="dxa"/>
            <w:vAlign w:val="center"/>
          </w:tcPr>
          <w:p w14:paraId="1A8D643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56D1081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17D6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025C12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继电器</w:t>
            </w:r>
          </w:p>
        </w:tc>
        <w:tc>
          <w:tcPr>
            <w:tcW w:w="3321" w:type="dxa"/>
            <w:vAlign w:val="center"/>
          </w:tcPr>
          <w:p w14:paraId="09BE4A4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G2R-1 SND(S)</w:t>
            </w:r>
          </w:p>
        </w:tc>
        <w:tc>
          <w:tcPr>
            <w:tcW w:w="3321" w:type="dxa"/>
            <w:vAlign w:val="center"/>
          </w:tcPr>
          <w:p w14:paraId="4FBBFC7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80只</w:t>
            </w:r>
          </w:p>
        </w:tc>
      </w:tr>
      <w:tr w14:paraId="2E177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1C6069C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采样探头固态继电器</w:t>
            </w:r>
          </w:p>
        </w:tc>
        <w:tc>
          <w:tcPr>
            <w:tcW w:w="3321" w:type="dxa"/>
            <w:vAlign w:val="center"/>
          </w:tcPr>
          <w:p w14:paraId="5A4A257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SSR-8</w:t>
            </w:r>
          </w:p>
        </w:tc>
        <w:tc>
          <w:tcPr>
            <w:tcW w:w="3321" w:type="dxa"/>
            <w:vAlign w:val="center"/>
          </w:tcPr>
          <w:p w14:paraId="27A73B3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27C2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FAE87F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GAST真空泵</w:t>
            </w:r>
          </w:p>
        </w:tc>
        <w:tc>
          <w:tcPr>
            <w:tcW w:w="3321" w:type="dxa"/>
            <w:vAlign w:val="center"/>
          </w:tcPr>
          <w:p w14:paraId="3489D39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87R142-403H</w:t>
            </w:r>
          </w:p>
        </w:tc>
        <w:tc>
          <w:tcPr>
            <w:tcW w:w="3321" w:type="dxa"/>
            <w:vAlign w:val="center"/>
          </w:tcPr>
          <w:p w14:paraId="7A73192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16只</w:t>
            </w:r>
          </w:p>
        </w:tc>
      </w:tr>
      <w:tr w14:paraId="0EE0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DF2412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RS-232转RS485模块</w:t>
            </w:r>
          </w:p>
        </w:tc>
        <w:tc>
          <w:tcPr>
            <w:tcW w:w="3321" w:type="dxa"/>
            <w:vAlign w:val="center"/>
          </w:tcPr>
          <w:p w14:paraId="36B88FB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UT-502</w:t>
            </w:r>
          </w:p>
        </w:tc>
        <w:tc>
          <w:tcPr>
            <w:tcW w:w="3321" w:type="dxa"/>
            <w:vAlign w:val="center"/>
          </w:tcPr>
          <w:p w14:paraId="21773E9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16只</w:t>
            </w:r>
          </w:p>
        </w:tc>
      </w:tr>
      <w:tr w14:paraId="7DE2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4A1E54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SO2分析仪通讯板</w:t>
            </w:r>
          </w:p>
        </w:tc>
        <w:tc>
          <w:tcPr>
            <w:tcW w:w="3321" w:type="dxa"/>
            <w:vAlign w:val="center"/>
          </w:tcPr>
          <w:p w14:paraId="6D31F5F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6971A63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562D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E4E713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NOx分析仪通讯板</w:t>
            </w:r>
          </w:p>
        </w:tc>
        <w:tc>
          <w:tcPr>
            <w:tcW w:w="3321" w:type="dxa"/>
            <w:vAlign w:val="center"/>
          </w:tcPr>
          <w:p w14:paraId="44649D5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029476E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153F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766D09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SO2主分析仪</w:t>
            </w:r>
          </w:p>
        </w:tc>
        <w:tc>
          <w:tcPr>
            <w:tcW w:w="3321" w:type="dxa"/>
            <w:vAlign w:val="center"/>
          </w:tcPr>
          <w:p w14:paraId="247D949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S-500</w:t>
            </w:r>
          </w:p>
        </w:tc>
        <w:tc>
          <w:tcPr>
            <w:tcW w:w="3321" w:type="dxa"/>
            <w:vAlign w:val="center"/>
          </w:tcPr>
          <w:p w14:paraId="1142516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1台</w:t>
            </w:r>
          </w:p>
        </w:tc>
      </w:tr>
      <w:tr w14:paraId="2DF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B07AEF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NOX主分析仪</w:t>
            </w:r>
          </w:p>
        </w:tc>
        <w:tc>
          <w:tcPr>
            <w:tcW w:w="3321" w:type="dxa"/>
            <w:vAlign w:val="center"/>
          </w:tcPr>
          <w:p w14:paraId="0ECE369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S-600</w:t>
            </w:r>
          </w:p>
        </w:tc>
        <w:tc>
          <w:tcPr>
            <w:tcW w:w="3321" w:type="dxa"/>
            <w:vAlign w:val="center"/>
          </w:tcPr>
          <w:p w14:paraId="25E982D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1台</w:t>
            </w:r>
          </w:p>
        </w:tc>
      </w:tr>
      <w:tr w14:paraId="4F0CE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1E7ABA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冷干机维保</w:t>
            </w:r>
          </w:p>
        </w:tc>
        <w:tc>
          <w:tcPr>
            <w:tcW w:w="3321" w:type="dxa"/>
            <w:vAlign w:val="center"/>
          </w:tcPr>
          <w:p w14:paraId="4FDE2D15">
            <w:pPr>
              <w:jc w:val="center"/>
              <w:rPr>
                <w:rFonts w:hint="default"/>
                <w:color w:val="auto"/>
                <w:highlight w:val="none"/>
                <w:vertAlign w:val="baseline"/>
                <w:lang w:val="en-US" w:eastAsia="zh-CN"/>
              </w:rPr>
            </w:pPr>
          </w:p>
        </w:tc>
        <w:tc>
          <w:tcPr>
            <w:tcW w:w="3321" w:type="dxa"/>
            <w:vAlign w:val="center"/>
          </w:tcPr>
          <w:p w14:paraId="25F9CA7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2台</w:t>
            </w:r>
          </w:p>
        </w:tc>
      </w:tr>
      <w:tr w14:paraId="035A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FE7AAD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站房空调及配套设备维保</w:t>
            </w:r>
          </w:p>
        </w:tc>
        <w:tc>
          <w:tcPr>
            <w:tcW w:w="3321" w:type="dxa"/>
            <w:vAlign w:val="center"/>
          </w:tcPr>
          <w:p w14:paraId="76913247">
            <w:pPr>
              <w:jc w:val="center"/>
              <w:rPr>
                <w:rFonts w:hint="default"/>
                <w:color w:val="auto"/>
                <w:highlight w:val="none"/>
                <w:vertAlign w:val="baseline"/>
                <w:lang w:val="en-US" w:eastAsia="zh-CN"/>
              </w:rPr>
            </w:pPr>
          </w:p>
        </w:tc>
        <w:tc>
          <w:tcPr>
            <w:tcW w:w="3321" w:type="dxa"/>
            <w:vAlign w:val="center"/>
          </w:tcPr>
          <w:p w14:paraId="588D908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2套</w:t>
            </w:r>
          </w:p>
        </w:tc>
      </w:tr>
      <w:tr w14:paraId="5D75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3E2B14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第三方季度比对</w:t>
            </w:r>
          </w:p>
        </w:tc>
        <w:tc>
          <w:tcPr>
            <w:tcW w:w="3321" w:type="dxa"/>
            <w:vAlign w:val="center"/>
          </w:tcPr>
          <w:p w14:paraId="10E437DC">
            <w:pPr>
              <w:jc w:val="center"/>
              <w:rPr>
                <w:rFonts w:hint="default"/>
                <w:color w:val="auto"/>
                <w:highlight w:val="none"/>
                <w:vertAlign w:val="baseline"/>
                <w:lang w:val="en-US" w:eastAsia="zh-CN"/>
              </w:rPr>
            </w:pPr>
          </w:p>
        </w:tc>
        <w:tc>
          <w:tcPr>
            <w:tcW w:w="3321" w:type="dxa"/>
            <w:vAlign w:val="center"/>
          </w:tcPr>
          <w:p w14:paraId="3D3563F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32次</w:t>
            </w:r>
          </w:p>
        </w:tc>
      </w:tr>
    </w:tbl>
    <w:p w14:paraId="3EEB6D5B">
      <w:pPr>
        <w:widowControl/>
        <w:ind w:firstLine="241" w:firstLineChars="100"/>
        <w:jc w:val="left"/>
        <w:rPr>
          <w:rFonts w:hint="default"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上表中在线检测系统设备的备件、耗材及服务（包括不限于）均由运维单位提供，采购人不再额外支付更换维修费用。</w:t>
      </w:r>
    </w:p>
    <w:p w14:paraId="740AB207">
      <w:pPr>
        <w:widowControl/>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二、服务要求：</w:t>
      </w:r>
    </w:p>
    <w:p w14:paraId="595CA882">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CEMS运维单位应根据CEMS使用说明书和相关标准的要求编制仪器运行管理规程，确定系统运行操作人员和管理维护人员的工作职责，并派遣专业人员进行</w:t>
      </w:r>
      <w:r>
        <w:rPr>
          <w:rFonts w:hint="eastAsia" w:ascii="宋体" w:hAnsi="宋体" w:eastAsia="宋体" w:cs="宋体"/>
          <w:color w:val="auto"/>
          <w:sz w:val="24"/>
          <w:highlight w:val="none"/>
          <w:lang w:val="en-US" w:eastAsia="zh-CN"/>
        </w:rPr>
        <w:t>驻场</w:t>
      </w:r>
      <w:r>
        <w:rPr>
          <w:rFonts w:hint="eastAsia" w:ascii="宋体" w:hAnsi="宋体" w:eastAsia="宋体" w:cs="宋体"/>
          <w:color w:val="auto"/>
          <w:sz w:val="24"/>
          <w:highlight w:val="none"/>
        </w:rPr>
        <w:t>运维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人数不少于1人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驻场要求时间为工作日8时至16时，非工作时间如遇数据异常或设备仪器出现故障，需在15分钟内到达现场，1日内检查修复完毕</w:t>
      </w:r>
      <w:r>
        <w:rPr>
          <w:rFonts w:hint="eastAsia" w:ascii="宋体" w:hAnsi="宋体" w:eastAsia="宋体" w:cs="宋体"/>
          <w:color w:val="auto"/>
          <w:sz w:val="24"/>
          <w:highlight w:val="none"/>
        </w:rPr>
        <w:t>。</w:t>
      </w:r>
      <w:r>
        <w:rPr>
          <w:rFonts w:hint="eastAsia" w:asciiTheme="minorEastAsia" w:hAnsiTheme="minorEastAsia" w:eastAsiaTheme="minorEastAsia" w:cstheme="minorEastAsia"/>
          <w:color w:val="auto"/>
          <w:sz w:val="24"/>
          <w:highlight w:val="none"/>
        </w:rPr>
        <w:t>运维人员</w:t>
      </w:r>
      <w:r>
        <w:rPr>
          <w:rFonts w:hint="eastAsia" w:asciiTheme="minorEastAsia" w:hAnsiTheme="minorEastAsia" w:eastAsiaTheme="minorEastAsia" w:cstheme="minorEastAsia"/>
          <w:color w:val="auto"/>
          <w:sz w:val="24"/>
          <w:highlight w:val="none"/>
          <w:lang w:val="en-US" w:eastAsia="zh-CN"/>
        </w:rPr>
        <w:t>需持有自动监控（烟尘烟气）运行工证书，且与投标单位依法签订劳动合同，投标单位应依法为其缴纳社会保险，需提供对应运维人员至少6个月的社保证明，且</w:t>
      </w:r>
      <w:r>
        <w:rPr>
          <w:rFonts w:hint="eastAsia" w:ascii="宋体" w:hAnsi="宋体" w:eastAsia="宋体" w:cs="宋体"/>
          <w:color w:val="auto"/>
          <w:sz w:val="24"/>
          <w:highlight w:val="none"/>
        </w:rPr>
        <w:t>应当熟练掌握烟气排放连续监测仪器设备的原理，使用和运维方法。CEMS日常运行管理应包括但不限于以下方面：</w:t>
      </w:r>
    </w:p>
    <w:p w14:paraId="52B967B4">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（1）日常巡检</w:t>
      </w:r>
    </w:p>
    <w:p w14:paraId="2DCC547C">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CEMS运维单位应根据标准和仪器使用说明中的相关要求制订巡检规程，并严格按照规程开展日常巡检工作并做好记录。日常巡检记录应包括检查项目、检查日期、被检项目的运行状态等内容，每次巡检应记录并归档。CEMS日常巡检应每天进行。</w:t>
      </w:r>
    </w:p>
    <w:p w14:paraId="12D1E8B3">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（2）日常维护保养</w:t>
      </w:r>
    </w:p>
    <w:p w14:paraId="19D8D1BA">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应根据CEMS说明书的要求对CEMS系统保养内容、保养周期或耗材更换周期等做出明确规定，每次保养情况应记录并归档。每次进行备件或材料更换时，更换的备件或材料的品名、规格、数量等应记录并归档。如更换有证标准物质或标准样品，还需记录新标准物质或标准样品的来源、有效期和浓度等信息。对日常巡检或维护保养中发现的故障或问题，系统管理维护人员应及时处理并记录。</w:t>
      </w:r>
    </w:p>
    <w:p w14:paraId="2DF296FA">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（3）CEMS 的校准和校验</w:t>
      </w:r>
    </w:p>
    <w:p w14:paraId="4E96B675">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应根据相关标准中规定的方法和质量保证规定的周期制订CEMS系统的日常准和校验操作规程。校准和校验记录应及时归档。</w:t>
      </w:r>
    </w:p>
    <w:p w14:paraId="06E284D8">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（4）常见故障分析及排除</w:t>
      </w:r>
    </w:p>
    <w:p w14:paraId="3B0EF9E2">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当CEMS发生故障时，系统管理维护人员应及时处理并记录。维修处理过程中，要注意以下几点：</w:t>
      </w:r>
    </w:p>
    <w:p w14:paraId="48951B68">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1、需要停用、拆除或者更换的，应当事先报经招标单位及环境主管部门批准。</w:t>
      </w:r>
    </w:p>
    <w:p w14:paraId="1B49497D">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2、运行单位发现故障或接到故障通知，应立即赶到现场进行处理。</w:t>
      </w:r>
    </w:p>
    <w:p w14:paraId="6594F8AE">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3、对于一些容易诊断的故障，如电磁阀控制失灵、膜裂损、气路堵塞、数据采集仪死机等，带工具或者备件到现场进行针对性维修，此类故障维修时间不应超过 8h。</w:t>
      </w:r>
    </w:p>
    <w:p w14:paraId="1F1514DD">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4、仪器经过维修后，在正常使用和运行之前应确保维修内容全部完成，性能通过检测程序，按标准对仪器进行校准检查。若监测仪器进行了更换，在正常使用和运行之前应对系统进行重新调试和验收。</w:t>
      </w:r>
    </w:p>
    <w:p w14:paraId="06CE1A1C">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5、若数据存储控制仪发生故障，应在12H内修复或更换，并保证已采集的数据不丢失。</w:t>
      </w:r>
    </w:p>
    <w:p w14:paraId="2BCC6403">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6、监测设备因故障不能正常采集、传输数据时，应及时向主管部门报告，对缺失数据进行处理。</w:t>
      </w:r>
    </w:p>
    <w:p w14:paraId="5B2597A3">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（5）其他要求</w:t>
      </w:r>
    </w:p>
    <w:p w14:paraId="4C372C2B">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1.投标单位应进行驻点服务，发现问题，应及时汇报招标单位，并及时和环保主管部门进行沟通，作出有效处理。</w:t>
      </w:r>
    </w:p>
    <w:p w14:paraId="7BA6534C">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2.该项目发生的所有检测、校准费用由投标单位负责。</w:t>
      </w:r>
    </w:p>
    <w:p w14:paraId="36D6771B">
      <w:pPr>
        <w:spacing w:line="440" w:lineRule="exact"/>
        <w:ind w:firstLine="420" w:firstLineChars="175"/>
        <w:rPr>
          <w:rFonts w:ascii="宋体" w:hAnsi="宋体" w:eastAsia="宋体" w:cs="宋体"/>
          <w:color w:val="auto"/>
          <w:sz w:val="24"/>
          <w:highlight w:val="none"/>
        </w:rPr>
      </w:pPr>
      <w:r>
        <w:rPr>
          <w:rFonts w:hint="eastAsia" w:ascii="宋体" w:hAnsi="宋体" w:eastAsia="宋体" w:cs="宋体"/>
          <w:color w:val="auto"/>
          <w:sz w:val="24"/>
          <w:highlight w:val="none"/>
        </w:rPr>
        <w:t>3.站房及其附属设备（空调、门禁、空压机等设备）维保所产生费用由投标单位负责。</w:t>
      </w:r>
    </w:p>
    <w:p w14:paraId="5CA4213F">
      <w:pPr>
        <w:pStyle w:val="66"/>
        <w:ind w:firstLine="643"/>
        <w:rPr>
          <w:rFonts w:ascii="宋体" w:hAnsi="宋体" w:eastAsia="宋体" w:cs="宋体"/>
          <w:b/>
          <w:color w:val="auto"/>
          <w:kern w:val="44"/>
          <w:sz w:val="32"/>
          <w:szCs w:val="44"/>
          <w:highlight w:val="none"/>
        </w:rPr>
      </w:pPr>
    </w:p>
    <w:p w14:paraId="4BDE5A46">
      <w:pPr>
        <w:pStyle w:val="66"/>
        <w:ind w:firstLine="0" w:firstLineChars="0"/>
        <w:rPr>
          <w:rFonts w:ascii="宋体" w:hAnsi="宋体" w:eastAsia="宋体" w:cs="宋体"/>
          <w:b/>
          <w:color w:val="auto"/>
          <w:kern w:val="44"/>
          <w:sz w:val="32"/>
          <w:szCs w:val="44"/>
          <w:highlight w:val="none"/>
        </w:rPr>
      </w:pPr>
    </w:p>
    <w:p w14:paraId="2C39FC3C">
      <w:pPr>
        <w:widowControl/>
        <w:numPr>
          <w:ilvl w:val="0"/>
          <w:numId w:val="4"/>
        </w:numPr>
        <w:spacing w:line="360" w:lineRule="auto"/>
        <w:jc w:val="center"/>
        <w:outlineLvl w:val="0"/>
        <w:rPr>
          <w:rFonts w:ascii="宋体" w:hAnsi="宋体" w:eastAsia="宋体" w:cs="宋体"/>
          <w:bCs/>
          <w:color w:val="auto"/>
          <w:kern w:val="44"/>
          <w:szCs w:val="44"/>
          <w:highlight w:val="none"/>
        </w:rPr>
      </w:pPr>
      <w:r>
        <w:rPr>
          <w:rFonts w:hint="eastAsia" w:ascii="宋体" w:hAnsi="宋体" w:eastAsia="宋体" w:cs="宋体"/>
          <w:bCs/>
          <w:color w:val="auto"/>
          <w:kern w:val="44"/>
          <w:szCs w:val="44"/>
          <w:highlight w:val="none"/>
        </w:rPr>
        <w:t>评标方法及评价标准</w:t>
      </w:r>
      <w:bookmarkEnd w:id="87"/>
      <w:bookmarkEnd w:id="88"/>
    </w:p>
    <w:p w14:paraId="478E443E">
      <w:pPr>
        <w:spacing w:line="400" w:lineRule="exact"/>
        <w:ind w:firstLine="431"/>
        <w:rPr>
          <w:rFonts w:ascii="宋体" w:hAnsi="宋体" w:eastAsia="宋体" w:cs="宋体"/>
          <w:b/>
          <w:bCs/>
          <w:color w:val="auto"/>
          <w:sz w:val="24"/>
          <w:highlight w:val="none"/>
        </w:rPr>
      </w:pPr>
      <w:bookmarkStart w:id="89" w:name="_Toc12216"/>
      <w:bookmarkStart w:id="90" w:name="_Toc83886039"/>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w:t>
      </w:r>
    </w:p>
    <w:p w14:paraId="37DCCC13">
      <w:pPr>
        <w:pStyle w:val="4"/>
        <w:spacing w:before="140" w:after="14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28"/>
          <w:sz w:val="24"/>
          <w:szCs w:val="24"/>
          <w:highlight w:val="none"/>
        </w:rPr>
        <w:t>、</w:t>
      </w:r>
      <w:r>
        <w:rPr>
          <w:rFonts w:hint="eastAsia" w:ascii="宋体" w:hAnsi="宋体" w:cs="宋体"/>
          <w:color w:val="auto"/>
          <w:sz w:val="24"/>
          <w:szCs w:val="24"/>
          <w:highlight w:val="none"/>
        </w:rPr>
        <w:t>评标方法</w:t>
      </w:r>
    </w:p>
    <w:p w14:paraId="2C8DCEAB">
      <w:pPr>
        <w:spacing w:line="440" w:lineRule="exact"/>
        <w:ind w:firstLine="420"/>
        <w:rPr>
          <w:rFonts w:ascii="宋体" w:hAnsi="宋体" w:eastAsia="宋体" w:cs="宋体"/>
          <w:color w:val="auto"/>
          <w:sz w:val="24"/>
          <w:highlight w:val="none"/>
        </w:rPr>
      </w:pPr>
      <w:r>
        <w:rPr>
          <w:rFonts w:hint="eastAsia" w:ascii="宋体" w:hAnsi="宋体" w:eastAsia="宋体" w:cs="宋体"/>
          <w:color w:val="auto"/>
          <w:spacing w:val="10"/>
          <w:sz w:val="24"/>
          <w:highlight w:val="none"/>
        </w:rPr>
        <w:t>本</w:t>
      </w:r>
      <w:r>
        <w:rPr>
          <w:rFonts w:hint="eastAsia" w:ascii="宋体" w:hAnsi="宋体" w:eastAsia="宋体" w:cs="宋体"/>
          <w:color w:val="auto"/>
          <w:spacing w:val="9"/>
          <w:sz w:val="24"/>
          <w:highlight w:val="none"/>
        </w:rPr>
        <w:t>项目评标方法及标准采用</w:t>
      </w:r>
      <w:r>
        <w:rPr>
          <w:rFonts w:hint="eastAsia" w:ascii="宋体" w:hAnsi="宋体" w:eastAsia="宋体" w:cs="宋体"/>
          <w:b/>
          <w:bCs/>
          <w:color w:val="auto"/>
          <w:spacing w:val="9"/>
          <w:sz w:val="24"/>
          <w:highlight w:val="none"/>
        </w:rPr>
        <w:t>经评审最低价法</w:t>
      </w:r>
      <w:r>
        <w:rPr>
          <w:rFonts w:hint="eastAsia" w:ascii="宋体" w:hAnsi="宋体" w:eastAsia="宋体" w:cs="宋体"/>
          <w:color w:val="auto"/>
          <w:spacing w:val="11"/>
          <w:sz w:val="24"/>
          <w:highlight w:val="none"/>
        </w:rPr>
        <w:t>。</w:t>
      </w:r>
    </w:p>
    <w:p w14:paraId="573E40D3">
      <w:pPr>
        <w:pStyle w:val="4"/>
        <w:spacing w:before="140" w:after="14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2、评标程序</w:t>
      </w:r>
    </w:p>
    <w:p w14:paraId="0A49BC2B">
      <w:pPr>
        <w:spacing w:line="440" w:lineRule="exact"/>
        <w:ind w:firstLine="418"/>
        <w:rPr>
          <w:rFonts w:ascii="宋体" w:hAnsi="宋体" w:eastAsia="宋体" w:cs="宋体"/>
          <w:color w:val="auto"/>
          <w:sz w:val="24"/>
          <w:highlight w:val="none"/>
        </w:rPr>
      </w:pPr>
      <w:r>
        <w:rPr>
          <w:rFonts w:hint="eastAsia" w:ascii="宋体" w:hAnsi="宋体" w:eastAsia="宋体" w:cs="宋体"/>
          <w:color w:val="auto"/>
          <w:spacing w:val="9"/>
          <w:sz w:val="24"/>
          <w:highlight w:val="none"/>
        </w:rPr>
        <w:t>评标委员会按照以下程序开展评标工</w:t>
      </w:r>
      <w:r>
        <w:rPr>
          <w:rFonts w:hint="eastAsia" w:ascii="宋体" w:hAnsi="宋体" w:eastAsia="宋体" w:cs="宋体"/>
          <w:color w:val="auto"/>
          <w:spacing w:val="8"/>
          <w:sz w:val="24"/>
          <w:highlight w:val="none"/>
        </w:rPr>
        <w:t>作</w:t>
      </w:r>
      <w:r>
        <w:rPr>
          <w:rFonts w:hint="eastAsia" w:ascii="宋体" w:hAnsi="宋体" w:eastAsia="宋体" w:cs="宋体"/>
          <w:color w:val="auto"/>
          <w:spacing w:val="10"/>
          <w:sz w:val="24"/>
          <w:highlight w:val="none"/>
        </w:rPr>
        <w:t>。</w:t>
      </w:r>
    </w:p>
    <w:p w14:paraId="49C4651C">
      <w:pPr>
        <w:spacing w:line="440" w:lineRule="exact"/>
        <w:ind w:firstLine="421"/>
        <w:rPr>
          <w:rFonts w:ascii="宋体" w:hAnsi="宋体" w:eastAsia="宋体" w:cs="宋体"/>
          <w:color w:val="auto"/>
          <w:sz w:val="24"/>
          <w:highlight w:val="none"/>
        </w:rPr>
      </w:pPr>
      <w:r>
        <w:rPr>
          <w:rFonts w:hint="eastAsia" w:ascii="宋体" w:hAnsi="宋体" w:eastAsia="宋体" w:cs="宋体"/>
          <w:color w:val="auto"/>
          <w:spacing w:val="3"/>
          <w:sz w:val="24"/>
          <w:highlight w:val="none"/>
        </w:rPr>
        <w:t xml:space="preserve">2.1 </w:t>
      </w:r>
      <w:r>
        <w:rPr>
          <w:rFonts w:hint="eastAsia" w:ascii="宋体" w:hAnsi="宋体" w:eastAsia="宋体" w:cs="宋体"/>
          <w:color w:val="auto"/>
          <w:spacing w:val="5"/>
          <w:sz w:val="24"/>
          <w:highlight w:val="none"/>
        </w:rPr>
        <w:t>熟悉招标</w:t>
      </w:r>
      <w:r>
        <w:rPr>
          <w:rFonts w:hint="eastAsia" w:ascii="宋体" w:hAnsi="宋体" w:eastAsia="宋体" w:cs="宋体"/>
          <w:color w:val="auto"/>
          <w:spacing w:val="4"/>
          <w:sz w:val="24"/>
          <w:highlight w:val="none"/>
        </w:rPr>
        <w:t>文件和评标办法</w:t>
      </w:r>
      <w:r>
        <w:rPr>
          <w:rFonts w:hint="eastAsia" w:ascii="宋体" w:hAnsi="宋体" w:eastAsia="宋体" w:cs="宋体"/>
          <w:color w:val="auto"/>
          <w:spacing w:val="5"/>
          <w:sz w:val="24"/>
          <w:highlight w:val="none"/>
        </w:rPr>
        <w:t>；</w:t>
      </w:r>
    </w:p>
    <w:p w14:paraId="0E67B273">
      <w:pPr>
        <w:spacing w:line="440" w:lineRule="exact"/>
        <w:ind w:firstLine="421"/>
        <w:rPr>
          <w:rFonts w:ascii="宋体" w:hAnsi="宋体" w:eastAsia="宋体" w:cs="宋体"/>
          <w:color w:val="auto"/>
          <w:sz w:val="24"/>
          <w:highlight w:val="none"/>
        </w:rPr>
      </w:pPr>
      <w:r>
        <w:rPr>
          <w:rFonts w:hint="eastAsia" w:ascii="宋体" w:hAnsi="宋体" w:eastAsia="宋体" w:cs="宋体"/>
          <w:color w:val="auto"/>
          <w:sz w:val="24"/>
          <w:highlight w:val="none"/>
        </w:rPr>
        <w:t>2.2资格审查</w:t>
      </w:r>
      <w:r>
        <w:rPr>
          <w:rFonts w:hint="eastAsia" w:ascii="宋体" w:hAnsi="宋体" w:eastAsia="宋体" w:cs="宋体"/>
          <w:color w:val="auto"/>
          <w:spacing w:val="-5"/>
          <w:sz w:val="24"/>
          <w:highlight w:val="none"/>
        </w:rPr>
        <w:t>；</w:t>
      </w:r>
    </w:p>
    <w:p w14:paraId="3B359FFF">
      <w:pPr>
        <w:spacing w:line="440" w:lineRule="exact"/>
        <w:ind w:firstLine="421"/>
        <w:rPr>
          <w:rFonts w:ascii="宋体" w:hAnsi="宋体" w:eastAsia="宋体" w:cs="宋体"/>
          <w:color w:val="auto"/>
          <w:sz w:val="24"/>
          <w:highlight w:val="none"/>
        </w:rPr>
      </w:pPr>
      <w:r>
        <w:rPr>
          <w:rFonts w:hint="eastAsia" w:ascii="宋体" w:hAnsi="宋体" w:eastAsia="宋体" w:cs="宋体"/>
          <w:color w:val="auto"/>
          <w:sz w:val="24"/>
          <w:highlight w:val="none"/>
        </w:rPr>
        <w:t>2.3初步评审</w:t>
      </w:r>
      <w:r>
        <w:rPr>
          <w:rFonts w:hint="eastAsia" w:ascii="宋体" w:hAnsi="宋体" w:eastAsia="宋体" w:cs="宋体"/>
          <w:color w:val="auto"/>
          <w:spacing w:val="-5"/>
          <w:sz w:val="24"/>
          <w:highlight w:val="none"/>
        </w:rPr>
        <w:t>；</w:t>
      </w:r>
    </w:p>
    <w:p w14:paraId="1347D8A6">
      <w:pPr>
        <w:spacing w:line="440" w:lineRule="exact"/>
        <w:ind w:firstLine="421"/>
        <w:rPr>
          <w:rFonts w:ascii="宋体" w:hAnsi="宋体" w:eastAsia="宋体" w:cs="宋体"/>
          <w:color w:val="auto"/>
          <w:sz w:val="24"/>
          <w:highlight w:val="none"/>
        </w:rPr>
      </w:pPr>
      <w:r>
        <w:rPr>
          <w:rFonts w:hint="eastAsia" w:ascii="宋体" w:hAnsi="宋体" w:eastAsia="宋体" w:cs="宋体"/>
          <w:color w:val="auto"/>
          <w:spacing w:val="2"/>
          <w:sz w:val="24"/>
          <w:highlight w:val="none"/>
        </w:rPr>
        <w:t>2.</w:t>
      </w:r>
      <w:r>
        <w:rPr>
          <w:rFonts w:hint="eastAsia" w:ascii="宋体" w:hAnsi="宋体" w:eastAsia="宋体" w:cs="宋体"/>
          <w:color w:val="auto"/>
          <w:spacing w:val="1"/>
          <w:sz w:val="24"/>
          <w:highlight w:val="none"/>
        </w:rPr>
        <w:t>3.1符合性审查</w:t>
      </w:r>
      <w:r>
        <w:rPr>
          <w:rFonts w:hint="eastAsia" w:ascii="宋体" w:hAnsi="宋体" w:eastAsia="宋体" w:cs="宋体"/>
          <w:color w:val="auto"/>
          <w:spacing w:val="2"/>
          <w:sz w:val="24"/>
          <w:highlight w:val="none"/>
        </w:rPr>
        <w:t>；</w:t>
      </w:r>
    </w:p>
    <w:p w14:paraId="464F1812">
      <w:pPr>
        <w:spacing w:line="440" w:lineRule="exact"/>
        <w:ind w:firstLine="421"/>
        <w:rPr>
          <w:rFonts w:ascii="宋体" w:hAnsi="宋体" w:eastAsia="宋体" w:cs="宋体"/>
          <w:color w:val="auto"/>
          <w:sz w:val="24"/>
          <w:highlight w:val="none"/>
        </w:rPr>
      </w:pPr>
      <w:r>
        <w:rPr>
          <w:rFonts w:hint="eastAsia" w:ascii="宋体" w:hAnsi="宋体" w:eastAsia="宋体" w:cs="宋体"/>
          <w:color w:val="auto"/>
          <w:spacing w:val="2"/>
          <w:sz w:val="24"/>
          <w:highlight w:val="none"/>
        </w:rPr>
        <w:t>2.3</w:t>
      </w:r>
      <w:r>
        <w:rPr>
          <w:rFonts w:hint="eastAsia" w:ascii="宋体" w:hAnsi="宋体" w:eastAsia="宋体" w:cs="宋体"/>
          <w:color w:val="auto"/>
          <w:spacing w:val="1"/>
          <w:sz w:val="24"/>
          <w:highlight w:val="none"/>
        </w:rPr>
        <w:t>.2</w:t>
      </w:r>
      <w:r>
        <w:rPr>
          <w:rFonts w:hint="eastAsia" w:ascii="宋体" w:hAnsi="宋体" w:eastAsia="宋体" w:cs="宋体"/>
          <w:color w:val="auto"/>
          <w:spacing w:val="2"/>
          <w:sz w:val="24"/>
          <w:highlight w:val="none"/>
        </w:rPr>
        <w:t xml:space="preserve"> 有效标的确定</w:t>
      </w:r>
      <w:r>
        <w:rPr>
          <w:rFonts w:hint="eastAsia" w:ascii="宋体" w:hAnsi="宋体" w:eastAsia="宋体" w:cs="宋体"/>
          <w:color w:val="auto"/>
          <w:spacing w:val="3"/>
          <w:sz w:val="24"/>
          <w:highlight w:val="none"/>
        </w:rPr>
        <w:t>；</w:t>
      </w:r>
    </w:p>
    <w:p w14:paraId="635B341E">
      <w:pPr>
        <w:spacing w:line="440" w:lineRule="exact"/>
        <w:ind w:firstLine="421"/>
        <w:rPr>
          <w:rFonts w:ascii="宋体" w:hAnsi="宋体" w:eastAsia="宋体" w:cs="宋体"/>
          <w:color w:val="auto"/>
          <w:sz w:val="24"/>
          <w:highlight w:val="none"/>
        </w:rPr>
      </w:pPr>
      <w:r>
        <w:rPr>
          <w:rFonts w:hint="eastAsia" w:ascii="宋体" w:hAnsi="宋体" w:eastAsia="宋体" w:cs="宋体"/>
          <w:color w:val="auto"/>
          <w:sz w:val="24"/>
          <w:highlight w:val="none"/>
        </w:rPr>
        <w:t>2.4详细评审</w:t>
      </w:r>
      <w:r>
        <w:rPr>
          <w:rFonts w:hint="eastAsia" w:ascii="宋体" w:hAnsi="宋体" w:eastAsia="宋体" w:cs="宋体"/>
          <w:color w:val="auto"/>
          <w:spacing w:val="-5"/>
          <w:sz w:val="24"/>
          <w:highlight w:val="none"/>
        </w:rPr>
        <w:t>；</w:t>
      </w:r>
    </w:p>
    <w:p w14:paraId="3CEB4AF9">
      <w:pPr>
        <w:spacing w:line="440" w:lineRule="exact"/>
        <w:ind w:firstLine="421"/>
        <w:rPr>
          <w:rFonts w:ascii="宋体" w:hAnsi="宋体" w:eastAsia="宋体" w:cs="宋体"/>
          <w:color w:val="auto"/>
          <w:sz w:val="24"/>
          <w:highlight w:val="none"/>
        </w:rPr>
      </w:pPr>
      <w:r>
        <w:rPr>
          <w:rFonts w:hint="eastAsia" w:ascii="宋体" w:hAnsi="宋体" w:eastAsia="宋体" w:cs="宋体"/>
          <w:color w:val="auto"/>
          <w:spacing w:val="3"/>
          <w:sz w:val="24"/>
          <w:highlight w:val="none"/>
        </w:rPr>
        <w:t xml:space="preserve">2.5 </w:t>
      </w:r>
      <w:r>
        <w:rPr>
          <w:rFonts w:hint="eastAsia" w:ascii="宋体" w:hAnsi="宋体" w:eastAsia="宋体" w:cs="宋体"/>
          <w:color w:val="auto"/>
          <w:spacing w:val="5"/>
          <w:sz w:val="24"/>
          <w:highlight w:val="none"/>
        </w:rPr>
        <w:t>投标文</w:t>
      </w:r>
      <w:r>
        <w:rPr>
          <w:rFonts w:hint="eastAsia" w:ascii="宋体" w:hAnsi="宋体" w:eastAsia="宋体" w:cs="宋体"/>
          <w:color w:val="auto"/>
          <w:spacing w:val="4"/>
          <w:sz w:val="24"/>
          <w:highlight w:val="none"/>
        </w:rPr>
        <w:t>件澄清</w:t>
      </w:r>
      <w:r>
        <w:rPr>
          <w:rFonts w:hint="eastAsia" w:ascii="宋体" w:hAnsi="宋体" w:eastAsia="宋体" w:cs="宋体"/>
          <w:color w:val="auto"/>
          <w:spacing w:val="5"/>
          <w:sz w:val="24"/>
          <w:highlight w:val="none"/>
        </w:rPr>
        <w:t>、</w:t>
      </w:r>
      <w:r>
        <w:rPr>
          <w:rFonts w:hint="eastAsia" w:ascii="宋体" w:hAnsi="宋体" w:eastAsia="宋体" w:cs="宋体"/>
          <w:color w:val="auto"/>
          <w:spacing w:val="4"/>
          <w:sz w:val="24"/>
          <w:highlight w:val="none"/>
        </w:rPr>
        <w:t>报价修正</w:t>
      </w:r>
      <w:r>
        <w:rPr>
          <w:rFonts w:hint="eastAsia" w:ascii="宋体" w:hAnsi="宋体" w:eastAsia="宋体" w:cs="宋体"/>
          <w:color w:val="auto"/>
          <w:spacing w:val="5"/>
          <w:sz w:val="24"/>
          <w:highlight w:val="none"/>
        </w:rPr>
        <w:t>；</w:t>
      </w:r>
    </w:p>
    <w:p w14:paraId="29A817C3">
      <w:pPr>
        <w:spacing w:line="440" w:lineRule="exact"/>
        <w:ind w:firstLine="421"/>
        <w:rPr>
          <w:rFonts w:ascii="宋体" w:hAnsi="宋体" w:eastAsia="宋体" w:cs="宋体"/>
          <w:color w:val="auto"/>
          <w:sz w:val="24"/>
          <w:highlight w:val="none"/>
        </w:rPr>
      </w:pPr>
      <w:r>
        <w:rPr>
          <w:rFonts w:hint="eastAsia" w:ascii="宋体" w:hAnsi="宋体" w:eastAsia="宋体" w:cs="宋体"/>
          <w:color w:val="auto"/>
          <w:spacing w:val="3"/>
          <w:sz w:val="24"/>
          <w:highlight w:val="none"/>
        </w:rPr>
        <w:t xml:space="preserve">2.6 </w:t>
      </w:r>
      <w:r>
        <w:rPr>
          <w:rFonts w:hint="eastAsia" w:ascii="宋体" w:hAnsi="宋体" w:eastAsia="宋体" w:cs="宋体"/>
          <w:color w:val="auto"/>
          <w:spacing w:val="4"/>
          <w:sz w:val="24"/>
          <w:highlight w:val="none"/>
        </w:rPr>
        <w:t>排序与推荐中标</w:t>
      </w:r>
      <w:r>
        <w:rPr>
          <w:rFonts w:hint="eastAsia" w:ascii="宋体" w:hAnsi="宋体" w:eastAsia="宋体" w:cs="宋体"/>
          <w:color w:val="auto"/>
          <w:spacing w:val="3"/>
          <w:sz w:val="24"/>
          <w:highlight w:val="none"/>
        </w:rPr>
        <w:t>候选人</w:t>
      </w:r>
      <w:r>
        <w:rPr>
          <w:rFonts w:hint="eastAsia" w:ascii="宋体" w:hAnsi="宋体" w:eastAsia="宋体" w:cs="宋体"/>
          <w:color w:val="auto"/>
          <w:spacing w:val="5"/>
          <w:sz w:val="24"/>
          <w:highlight w:val="none"/>
        </w:rPr>
        <w:t>；</w:t>
      </w:r>
    </w:p>
    <w:p w14:paraId="30A45D7F">
      <w:pPr>
        <w:spacing w:line="440" w:lineRule="exact"/>
        <w:ind w:firstLine="421"/>
        <w:rPr>
          <w:rFonts w:ascii="宋体" w:hAnsi="宋体" w:eastAsia="宋体" w:cs="宋体"/>
          <w:color w:val="auto"/>
          <w:sz w:val="24"/>
          <w:highlight w:val="none"/>
        </w:rPr>
      </w:pPr>
      <w:r>
        <w:rPr>
          <w:rFonts w:hint="eastAsia" w:ascii="宋体" w:hAnsi="宋体" w:eastAsia="宋体" w:cs="宋体"/>
          <w:color w:val="auto"/>
          <w:spacing w:val="2"/>
          <w:sz w:val="24"/>
          <w:highlight w:val="none"/>
        </w:rPr>
        <w:t xml:space="preserve">2.7 </w:t>
      </w:r>
      <w:r>
        <w:rPr>
          <w:rFonts w:hint="eastAsia" w:ascii="宋体" w:hAnsi="宋体" w:eastAsia="宋体" w:cs="宋体"/>
          <w:color w:val="auto"/>
          <w:spacing w:val="1"/>
          <w:sz w:val="24"/>
          <w:highlight w:val="none"/>
        </w:rPr>
        <w:t>完成评标报告</w:t>
      </w:r>
      <w:r>
        <w:rPr>
          <w:rFonts w:hint="eastAsia" w:ascii="宋体" w:hAnsi="宋体" w:eastAsia="宋体" w:cs="宋体"/>
          <w:color w:val="auto"/>
          <w:spacing w:val="3"/>
          <w:sz w:val="24"/>
          <w:highlight w:val="none"/>
        </w:rPr>
        <w:t>。</w:t>
      </w:r>
    </w:p>
    <w:p w14:paraId="2CA399D2">
      <w:pPr>
        <w:pStyle w:val="4"/>
        <w:spacing w:before="140" w:after="14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3、资格审查</w:t>
      </w:r>
    </w:p>
    <w:p w14:paraId="1B50C81C">
      <w:pPr>
        <w:spacing w:line="440" w:lineRule="exact"/>
        <w:ind w:firstLine="420"/>
        <w:rPr>
          <w:rFonts w:ascii="宋体" w:hAnsi="宋体" w:eastAsia="宋体" w:cs="宋体"/>
          <w:color w:val="auto"/>
          <w:spacing w:val="10"/>
          <w:sz w:val="24"/>
          <w:highlight w:val="none"/>
        </w:rPr>
      </w:pPr>
      <w:r>
        <w:rPr>
          <w:rFonts w:hint="eastAsia" w:ascii="宋体" w:hAnsi="宋体" w:eastAsia="宋体" w:cs="宋体"/>
          <w:color w:val="auto"/>
          <w:spacing w:val="6"/>
          <w:sz w:val="24"/>
          <w:highlight w:val="none"/>
        </w:rPr>
        <w:t xml:space="preserve">3.1 </w:t>
      </w:r>
      <w:r>
        <w:rPr>
          <w:rFonts w:hint="eastAsia" w:ascii="宋体" w:hAnsi="宋体" w:eastAsia="宋体" w:cs="宋体"/>
          <w:color w:val="auto"/>
          <w:spacing w:val="11"/>
          <w:sz w:val="24"/>
          <w:highlight w:val="none"/>
        </w:rPr>
        <w:t>评标委员会按照招标文件的要求和规定，对投标人的投</w:t>
      </w:r>
      <w:r>
        <w:rPr>
          <w:rFonts w:hint="eastAsia" w:ascii="宋体" w:hAnsi="宋体" w:eastAsia="宋体" w:cs="宋体"/>
          <w:color w:val="auto"/>
          <w:spacing w:val="10"/>
          <w:sz w:val="24"/>
          <w:highlight w:val="none"/>
        </w:rPr>
        <w:t>标资格进行审查</w:t>
      </w:r>
      <w:r>
        <w:rPr>
          <w:rFonts w:hint="eastAsia" w:ascii="宋体" w:hAnsi="宋体" w:eastAsia="宋体" w:cs="宋体"/>
          <w:color w:val="auto"/>
          <w:spacing w:val="11"/>
          <w:sz w:val="24"/>
          <w:highlight w:val="none"/>
        </w:rPr>
        <w:t>。</w:t>
      </w:r>
      <w:r>
        <w:rPr>
          <w:rFonts w:hint="eastAsia" w:ascii="宋体" w:hAnsi="宋体" w:eastAsia="宋体" w:cs="宋体"/>
          <w:color w:val="auto"/>
          <w:spacing w:val="10"/>
          <w:sz w:val="24"/>
          <w:highlight w:val="none"/>
        </w:rPr>
        <w:t>投标人存在以下情形之一的，资格审查不予通过，否决其投标，不再进行后续评审：</w:t>
      </w:r>
    </w:p>
    <w:p w14:paraId="0519A434">
      <w:pPr>
        <w:spacing w:line="440" w:lineRule="exact"/>
        <w:ind w:firstLine="420"/>
        <w:rPr>
          <w:rFonts w:ascii="宋体" w:hAnsi="宋体" w:eastAsia="宋体" w:cs="宋体"/>
          <w:color w:val="auto"/>
          <w:spacing w:val="10"/>
          <w:sz w:val="24"/>
          <w:highlight w:val="none"/>
          <w:u w:val="single"/>
        </w:rPr>
      </w:pPr>
      <w:r>
        <w:rPr>
          <w:rFonts w:hint="eastAsia" w:ascii="宋体" w:hAnsi="宋体" w:eastAsia="宋体" w:cs="宋体"/>
          <w:color w:val="auto"/>
          <w:spacing w:val="10"/>
          <w:sz w:val="24"/>
          <w:highlight w:val="none"/>
          <w:u w:val="single"/>
        </w:rPr>
        <w:t>（1）投标人不满足招标公告中载明的投标人资格条件的；</w:t>
      </w:r>
    </w:p>
    <w:p w14:paraId="43BD240D">
      <w:pPr>
        <w:spacing w:line="440" w:lineRule="exact"/>
        <w:ind w:firstLine="420"/>
        <w:rPr>
          <w:rFonts w:ascii="宋体" w:hAnsi="宋体" w:eastAsia="宋体" w:cs="宋体"/>
          <w:color w:val="auto"/>
          <w:szCs w:val="32"/>
          <w:highlight w:val="none"/>
        </w:rPr>
      </w:pPr>
      <w:r>
        <w:rPr>
          <w:rFonts w:hint="eastAsia" w:ascii="宋体" w:hAnsi="宋体" w:eastAsia="宋体" w:cs="宋体"/>
          <w:color w:val="auto"/>
          <w:spacing w:val="10"/>
          <w:sz w:val="24"/>
          <w:highlight w:val="none"/>
          <w:u w:val="single"/>
        </w:rPr>
        <w:t>（2）存在法律、法规规定的其他否决投标情形的；</w:t>
      </w:r>
    </w:p>
    <w:p w14:paraId="4A1CD34D">
      <w:pPr>
        <w:spacing w:line="440" w:lineRule="exact"/>
        <w:ind w:firstLine="420"/>
        <w:jc w:val="left"/>
        <w:rPr>
          <w:rFonts w:ascii="宋体" w:hAnsi="宋体" w:eastAsia="宋体" w:cs="宋体"/>
          <w:color w:val="auto"/>
          <w:spacing w:val="11"/>
          <w:sz w:val="24"/>
          <w:highlight w:val="none"/>
        </w:rPr>
      </w:pPr>
      <w:r>
        <w:rPr>
          <w:rFonts w:hint="eastAsia" w:ascii="宋体" w:hAnsi="宋体" w:eastAsia="宋体" w:cs="宋体"/>
          <w:color w:val="auto"/>
          <w:spacing w:val="6"/>
          <w:sz w:val="24"/>
          <w:highlight w:val="none"/>
        </w:rPr>
        <w:t xml:space="preserve">3.2 </w:t>
      </w:r>
      <w:r>
        <w:rPr>
          <w:rFonts w:hint="eastAsia" w:ascii="宋体" w:hAnsi="宋体" w:eastAsia="宋体" w:cs="宋体"/>
          <w:color w:val="auto"/>
          <w:spacing w:val="11"/>
          <w:sz w:val="24"/>
          <w:highlight w:val="none"/>
        </w:rPr>
        <w:t>资格审查过程中，评标委员会可以要求投标人提交资格审查所</w:t>
      </w:r>
      <w:r>
        <w:rPr>
          <w:rFonts w:hint="eastAsia" w:ascii="宋体" w:hAnsi="宋体" w:eastAsia="宋体" w:cs="宋体"/>
          <w:color w:val="auto"/>
          <w:spacing w:val="10"/>
          <w:sz w:val="24"/>
          <w:highlight w:val="none"/>
        </w:rPr>
        <w:t>需的有关证明的原件</w:t>
      </w:r>
      <w:r>
        <w:rPr>
          <w:rFonts w:hint="eastAsia" w:ascii="宋体" w:hAnsi="宋体" w:eastAsia="宋体" w:cs="宋体"/>
          <w:color w:val="auto"/>
          <w:spacing w:val="11"/>
          <w:sz w:val="24"/>
          <w:highlight w:val="none"/>
        </w:rPr>
        <w:t>，</w:t>
      </w:r>
      <w:r>
        <w:rPr>
          <w:rFonts w:hint="eastAsia" w:ascii="宋体" w:hAnsi="宋体" w:eastAsia="宋体" w:cs="宋体"/>
          <w:color w:val="auto"/>
          <w:spacing w:val="10"/>
          <w:sz w:val="24"/>
          <w:highlight w:val="none"/>
        </w:rPr>
        <w:t>以便</w:t>
      </w:r>
      <w:r>
        <w:rPr>
          <w:rFonts w:hint="eastAsia" w:ascii="宋体" w:hAnsi="宋体" w:eastAsia="宋体" w:cs="宋体"/>
          <w:color w:val="auto"/>
          <w:spacing w:val="3"/>
          <w:sz w:val="24"/>
          <w:highlight w:val="none"/>
        </w:rPr>
        <w:t>核验</w:t>
      </w:r>
      <w:r>
        <w:rPr>
          <w:rFonts w:hint="eastAsia" w:ascii="宋体" w:hAnsi="宋体" w:eastAsia="宋体" w:cs="宋体"/>
          <w:color w:val="auto"/>
          <w:spacing w:val="4"/>
          <w:sz w:val="24"/>
          <w:highlight w:val="none"/>
        </w:rPr>
        <w:t>。</w:t>
      </w:r>
    </w:p>
    <w:p w14:paraId="4EE2FCE0">
      <w:pPr>
        <w:pStyle w:val="4"/>
        <w:spacing w:before="140" w:after="14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4、初步评审</w:t>
      </w:r>
    </w:p>
    <w:p w14:paraId="750BF749">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4.1符合性审查</w:t>
      </w:r>
    </w:p>
    <w:p w14:paraId="671AAA85">
      <w:pPr>
        <w:spacing w:line="440" w:lineRule="exact"/>
        <w:ind w:firstLine="420"/>
        <w:jc w:val="left"/>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4.1评标委员会应当对通过资格审查的投标人的投标文件进行符合性审查。投标人存在以下情形之一，符合性审查不予通过，否决其投标，不再进行后续评审：</w:t>
      </w:r>
    </w:p>
    <w:p w14:paraId="050CAC07">
      <w:p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（1）投标文件未按招标文件的要求签署和盖章的；</w:t>
      </w:r>
    </w:p>
    <w:p w14:paraId="523037BF">
      <w:p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（2）投标文件中未提供营业执照（事业单位法人证书、社会团体法人登记证书或其他组织登记证明文件）的；</w:t>
      </w:r>
    </w:p>
    <w:p w14:paraId="1ED784DD">
      <w:p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lang w:val="zh-CN"/>
        </w:rPr>
        <w:t>）投标人未按招标文件的要求递交投标保证金的（详见投标人须知第</w:t>
      </w:r>
      <w:r>
        <w:rPr>
          <w:rFonts w:hint="eastAsia" w:ascii="宋体" w:hAnsi="宋体" w:eastAsia="宋体" w:cs="宋体"/>
          <w:color w:val="auto"/>
          <w:sz w:val="24"/>
          <w:highlight w:val="none"/>
          <w:u w:val="single"/>
        </w:rPr>
        <w:t>4.5.2</w:t>
      </w:r>
      <w:r>
        <w:rPr>
          <w:rFonts w:hint="eastAsia" w:ascii="宋体" w:hAnsi="宋体" w:eastAsia="宋体" w:cs="宋体"/>
          <w:color w:val="auto"/>
          <w:sz w:val="24"/>
          <w:highlight w:val="none"/>
          <w:u w:val="single"/>
          <w:lang w:val="zh-CN"/>
        </w:rPr>
        <w:t>）；</w:t>
      </w:r>
    </w:p>
    <w:p w14:paraId="4D10CA08">
      <w:p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rPr>
        <w:t>4</w:t>
      </w:r>
      <w:r>
        <w:rPr>
          <w:rFonts w:hint="eastAsia" w:ascii="宋体" w:hAnsi="宋体" w:eastAsia="宋体" w:cs="宋体"/>
          <w:color w:val="auto"/>
          <w:sz w:val="24"/>
          <w:highlight w:val="none"/>
          <w:u w:val="single"/>
          <w:lang w:val="zh-CN"/>
        </w:rPr>
        <w:t>）投标文件不符合招标文件实质性要求（第三章“用户需求及技术要求”中具体条款用“▲”标注）的；</w:t>
      </w:r>
    </w:p>
    <w:p w14:paraId="18237425">
      <w:p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rPr>
        <w:t>5</w:t>
      </w:r>
      <w:r>
        <w:rPr>
          <w:rFonts w:hint="eastAsia" w:ascii="宋体" w:hAnsi="宋体" w:eastAsia="宋体" w:cs="宋体"/>
          <w:color w:val="auto"/>
          <w:sz w:val="24"/>
          <w:highlight w:val="none"/>
          <w:u w:val="single"/>
          <w:lang w:val="zh-CN"/>
        </w:rPr>
        <w:t>）同一投标人提交两个以上不同的投标文件或者投标报价，且投标文件中未声明哪一个有效的（招标文件要求提交备选投标的除外）；</w:t>
      </w:r>
    </w:p>
    <w:p w14:paraId="232B5DC0">
      <w:p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rPr>
        <w:t>6</w:t>
      </w:r>
      <w:r>
        <w:rPr>
          <w:rFonts w:hint="eastAsia" w:ascii="宋体" w:hAnsi="宋体" w:eastAsia="宋体" w:cs="宋体"/>
          <w:color w:val="auto"/>
          <w:sz w:val="24"/>
          <w:highlight w:val="none"/>
          <w:u w:val="single"/>
          <w:lang w:val="zh-CN"/>
        </w:rPr>
        <w:t>）投标报价超出招标文件规定的限价的；</w:t>
      </w:r>
    </w:p>
    <w:p w14:paraId="51B84BF7">
      <w:p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u w:val="single"/>
          <w:lang w:val="zh-CN"/>
        </w:rPr>
        <w:t>）投标文件未按规定的格式（招标文件第五章“投标文件格式”）编制或内容不全或关键字迹模糊、无法辨认的；</w:t>
      </w:r>
    </w:p>
    <w:p w14:paraId="26472BEF">
      <w:p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w:t>
      </w:r>
      <w:r>
        <w:rPr>
          <w:rFonts w:hint="eastAsia" w:ascii="宋体" w:hAnsi="宋体" w:eastAsia="宋体" w:cs="宋体"/>
          <w:color w:val="auto"/>
          <w:sz w:val="24"/>
          <w:highlight w:val="none"/>
          <w:u w:val="single"/>
        </w:rPr>
        <w:t>8</w:t>
      </w:r>
      <w:r>
        <w:rPr>
          <w:rFonts w:hint="eastAsia" w:ascii="宋体" w:hAnsi="宋体" w:eastAsia="宋体" w:cs="宋体"/>
          <w:color w:val="auto"/>
          <w:sz w:val="24"/>
          <w:highlight w:val="none"/>
          <w:u w:val="single"/>
          <w:lang w:val="zh-CN"/>
        </w:rPr>
        <w:t>）投标文件中承诺的投标有效期少于招标文件中载明的投标有效期的；</w:t>
      </w:r>
    </w:p>
    <w:p w14:paraId="136D2434">
      <w:p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（1</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u w:val="single"/>
          <w:lang w:val="zh-CN"/>
        </w:rPr>
        <w:t>）投标人根据招标文件规定及投标内容对招标人所作的任何合法承诺或响应存在与实际不符的；</w:t>
      </w:r>
    </w:p>
    <w:p w14:paraId="5D129117">
      <w:pPr>
        <w:numPr>
          <w:ilvl w:val="255"/>
          <w:numId w:val="0"/>
        </w:numPr>
        <w:spacing w:line="360" w:lineRule="auto"/>
        <w:ind w:firstLine="480" w:firstLineChars="200"/>
        <w:rPr>
          <w:rFonts w:ascii="宋体" w:hAnsi="宋体" w:eastAsia="宋体" w:cs="宋体"/>
          <w:color w:val="auto"/>
          <w:sz w:val="24"/>
          <w:highlight w:val="none"/>
          <w:u w:val="single"/>
          <w:lang w:val="zh-CN"/>
        </w:rPr>
      </w:pPr>
      <w:r>
        <w:rPr>
          <w:rFonts w:hint="eastAsia" w:ascii="宋体" w:hAnsi="宋体" w:eastAsia="宋体" w:cs="宋体"/>
          <w:color w:val="auto"/>
          <w:sz w:val="24"/>
          <w:highlight w:val="none"/>
          <w:u w:val="single"/>
          <w:lang w:val="zh-CN"/>
        </w:rPr>
        <w:t>（1</w:t>
      </w:r>
      <w:r>
        <w:rPr>
          <w:rFonts w:hint="eastAsia" w:ascii="宋体" w:hAnsi="宋体" w:eastAsia="宋体" w:cs="宋体"/>
          <w:color w:val="auto"/>
          <w:sz w:val="24"/>
          <w:highlight w:val="none"/>
          <w:u w:val="single"/>
        </w:rPr>
        <w:t>1</w:t>
      </w:r>
      <w:r>
        <w:rPr>
          <w:rFonts w:hint="eastAsia" w:ascii="宋体" w:hAnsi="宋体" w:eastAsia="宋体" w:cs="宋体"/>
          <w:color w:val="auto"/>
          <w:sz w:val="24"/>
          <w:highlight w:val="none"/>
          <w:u w:val="single"/>
          <w:lang w:val="zh-CN"/>
        </w:rPr>
        <w:t>）投标人对根据修正原则修正后的报价不予确认的；</w:t>
      </w:r>
    </w:p>
    <w:p w14:paraId="2C551405">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（12）存在法律、法规规定的其他否决投标情形的。</w:t>
      </w:r>
    </w:p>
    <w:p w14:paraId="56EDD689">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（13）经评标委员会审核，投标人符合以下情形之一的，视为投标人串通投标的，其投标无效：</w:t>
      </w:r>
    </w:p>
    <w:p w14:paraId="7D4C33FC">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①不同投标人的投标文件由同一单位或者个人编制； </w:t>
      </w:r>
    </w:p>
    <w:p w14:paraId="6F73522A">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②不同投标人委托同一单位或者个人办理投标事宜； </w:t>
      </w:r>
    </w:p>
    <w:p w14:paraId="36240CC5">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③不同投标人的投标文件载明的项目管理成员或者联系人员为同一人； </w:t>
      </w:r>
    </w:p>
    <w:p w14:paraId="200AB09E">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④不同投标人的投标文件异常一致或者投标报价呈规律性差异； </w:t>
      </w:r>
    </w:p>
    <w:p w14:paraId="55266913">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⑤不同投标人的投标文件相互混装； </w:t>
      </w:r>
    </w:p>
    <w:p w14:paraId="3D99E946">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⑥不同投标人的投标保证金从同一单位或者个人的账户转出。</w:t>
      </w:r>
    </w:p>
    <w:p w14:paraId="5497076F">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u w:val="single"/>
        </w:rPr>
        <w:t>（14）投标人拒不按照要求对投标文件进行澄清、说明、补正的。或评标委员会根据招标文件规定对投标文件的计算错误进行修正后，投标人不接受修正后的投标报价的；</w:t>
      </w:r>
    </w:p>
    <w:p w14:paraId="41050178">
      <w:pPr>
        <w:spacing w:line="440" w:lineRule="exact"/>
        <w:ind w:firstLine="420"/>
        <w:jc w:val="left"/>
        <w:rPr>
          <w:rFonts w:ascii="宋体" w:hAnsi="宋体" w:eastAsia="宋体" w:cs="宋体"/>
          <w:b/>
          <w:bCs/>
          <w:color w:val="auto"/>
          <w:spacing w:val="6"/>
          <w:sz w:val="24"/>
          <w:highlight w:val="none"/>
        </w:rPr>
      </w:pPr>
      <w:r>
        <w:rPr>
          <w:rFonts w:hint="eastAsia" w:ascii="宋体" w:hAnsi="宋体" w:eastAsia="宋体" w:cs="宋体"/>
          <w:b/>
          <w:bCs/>
          <w:color w:val="auto"/>
          <w:spacing w:val="6"/>
          <w:sz w:val="24"/>
          <w:highlight w:val="none"/>
        </w:rPr>
        <w:t>4.2有效标认定</w:t>
      </w:r>
    </w:p>
    <w:p w14:paraId="781631C1">
      <w:pPr>
        <w:spacing w:line="440" w:lineRule="exact"/>
        <w:ind w:firstLine="420"/>
        <w:jc w:val="left"/>
        <w:rPr>
          <w:rFonts w:ascii="宋体" w:hAnsi="宋体" w:eastAsia="宋体" w:cs="宋体"/>
          <w:color w:val="auto"/>
          <w:spacing w:val="6"/>
          <w:sz w:val="24"/>
          <w:highlight w:val="none"/>
        </w:rPr>
      </w:pPr>
      <w:r>
        <w:rPr>
          <w:rFonts w:hint="eastAsia" w:ascii="宋体" w:hAnsi="宋体" w:eastAsia="宋体" w:cs="宋体"/>
          <w:color w:val="auto"/>
          <w:spacing w:val="6"/>
          <w:sz w:val="24"/>
          <w:highlight w:val="none"/>
        </w:rPr>
        <w:t>通过资格审查和符合性审查的有效投标人不足3家的，评标委员会应认定本次投标是否具有竞争性，若评标委员会认定本次投标明显缺乏竞争的，可以否决所有投标。</w:t>
      </w:r>
    </w:p>
    <w:p w14:paraId="067FBF2A">
      <w:p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5、详细评审</w:t>
      </w:r>
    </w:p>
    <w:p w14:paraId="6DD56015">
      <w:pPr>
        <w:spacing w:line="36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5.1</w:t>
      </w:r>
      <w:r>
        <w:rPr>
          <w:rFonts w:hint="eastAsia" w:ascii="宋体" w:hAnsi="宋体" w:eastAsia="宋体" w:cs="宋体"/>
          <w:color w:val="auto"/>
          <w:sz w:val="24"/>
          <w:highlight w:val="none"/>
        </w:rPr>
        <w:t>评标委员会对通过初步评审的有效标的投标文件进行详细评审。投标人存在以下情形之一，详细审查不予通过，否决其投标，不再进行后续评审：</w:t>
      </w:r>
    </w:p>
    <w:p w14:paraId="2DD3FDD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（1）关键技术方案不可行的；</w:t>
      </w:r>
    </w:p>
    <w:p w14:paraId="38BCFBE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（2）项目组成员配备不满足招标文件要求的；</w:t>
      </w:r>
    </w:p>
    <w:p w14:paraId="45181FD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（3）采用的验收标准或主要技术指标不符合国家强制性标准或招标文件要求的；</w:t>
      </w:r>
    </w:p>
    <w:p w14:paraId="49893B1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（4）投标人因自身原因导致报价存在漏项或重大失误、投标报价低于成本（投标人不能合理说明或者不能提供相关证明材料）的；</w:t>
      </w:r>
    </w:p>
    <w:p w14:paraId="30ABC01C">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（5）存在法律、法规规定的其他否决投标情形的(否决时需明确引用的具体条款及内容)。</w:t>
      </w:r>
    </w:p>
    <w:p w14:paraId="47F5D035">
      <w:pPr>
        <w:spacing w:line="360" w:lineRule="auto"/>
        <w:rPr>
          <w:rFonts w:ascii="宋体" w:hAnsi="宋体" w:eastAsia="宋体" w:cs="宋体"/>
          <w:color w:val="auto"/>
          <w:spacing w:val="11"/>
          <w:sz w:val="24"/>
          <w:highlight w:val="none"/>
        </w:rPr>
      </w:pPr>
      <w:r>
        <w:rPr>
          <w:rFonts w:hint="eastAsia" w:ascii="宋体" w:hAnsi="宋体" w:eastAsia="宋体" w:cs="宋体"/>
          <w:color w:val="auto"/>
          <w:sz w:val="24"/>
          <w:highlight w:val="none"/>
        </w:rPr>
        <w:t xml:space="preserve"> </w:t>
      </w:r>
    </w:p>
    <w:p w14:paraId="3C415985">
      <w:pPr>
        <w:pStyle w:val="4"/>
        <w:spacing w:before="140" w:after="14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6、投标文件澄清、报价修正</w:t>
      </w:r>
    </w:p>
    <w:p w14:paraId="32141C1C">
      <w:pPr>
        <w:spacing w:line="440" w:lineRule="exact"/>
        <w:ind w:firstLine="508" w:firstLineChars="200"/>
        <w:contextualSpacing/>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6.1在评标过程中，评标委员会可以书面形式要求投标人对所提交的投标文件中不明确的内容进行书面澄清、说明或者补正。投标人代表应保证联络方式畅通，并应在接到电话通知后的规定时间内将投标人签署盖章的澄清、说明资料扫描件按要求进行上传。给予投标人提交澄清、说明或补正的时间不得少于半小时，投标人已经明确表示澄清说明或补正完毕的除外（投标人澄清应当一次性回复完毕）。</w:t>
      </w:r>
    </w:p>
    <w:p w14:paraId="48871B03">
      <w:pPr>
        <w:spacing w:line="440" w:lineRule="exact"/>
        <w:ind w:firstLine="508" w:firstLineChars="200"/>
        <w:contextualSpacing/>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6.2有关澄清、说明与补正不得对投标报价和投标文件的实质性内容进行更改（报价修正除外）。投标人的书面澄清、说明和补正属于投标文件的组成部分。</w:t>
      </w:r>
    </w:p>
    <w:p w14:paraId="02242ED1">
      <w:pPr>
        <w:spacing w:line="440" w:lineRule="exact"/>
        <w:ind w:firstLine="508" w:firstLineChars="200"/>
        <w:contextualSpacing/>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6.3 评标委员会对投标人提交的澄清、说明或补正有疑问的，可以要求投标人进一步澄清、说明或补正，直至满足评标委员会的要求。</w:t>
      </w:r>
    </w:p>
    <w:p w14:paraId="4124AA8B">
      <w:pPr>
        <w:spacing w:line="440" w:lineRule="exact"/>
        <w:ind w:firstLine="508" w:firstLineChars="200"/>
        <w:contextualSpacing/>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6.4评标委员会不接受投标人主动提出的澄清、说明或补正。</w:t>
      </w:r>
    </w:p>
    <w:p w14:paraId="36AF6D31">
      <w:pPr>
        <w:spacing w:line="440" w:lineRule="exact"/>
        <w:ind w:firstLine="508" w:firstLineChars="200"/>
        <w:contextualSpacing/>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6.5投标报价出现前后不一致的，评标委员会应按照下列原则修正：</w:t>
      </w:r>
    </w:p>
    <w:p w14:paraId="02FCC15A">
      <w:pPr>
        <w:spacing w:line="440" w:lineRule="exact"/>
        <w:ind w:firstLine="508" w:firstLineChars="200"/>
        <w:contextualSpacing/>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（1）投标文件中投标函内容与投标文件中相应内容不一致的，以投标函为准；</w:t>
      </w:r>
    </w:p>
    <w:p w14:paraId="3592574A">
      <w:pPr>
        <w:spacing w:line="440" w:lineRule="exact"/>
        <w:ind w:firstLine="508" w:firstLineChars="200"/>
        <w:contextualSpacing/>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（2）大写金额和小写金额不一致的，以大写金额为准；</w:t>
      </w:r>
    </w:p>
    <w:p w14:paraId="4A2B7133">
      <w:pPr>
        <w:spacing w:line="440" w:lineRule="exact"/>
        <w:ind w:firstLine="508" w:firstLineChars="200"/>
        <w:contextualSpacing/>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（3）总价金额与按单价汇总金额不一致的，以总价为准，修改单价；</w:t>
      </w:r>
    </w:p>
    <w:p w14:paraId="7FA28EA9">
      <w:pPr>
        <w:spacing w:line="440" w:lineRule="exact"/>
        <w:ind w:firstLine="508" w:firstLineChars="200"/>
        <w:contextualSpacing/>
        <w:rPr>
          <w:rFonts w:ascii="宋体" w:hAnsi="宋体" w:eastAsia="宋体" w:cs="宋体"/>
          <w:color w:val="auto"/>
          <w:spacing w:val="7"/>
          <w:sz w:val="24"/>
          <w:highlight w:val="none"/>
        </w:rPr>
      </w:pPr>
      <w:r>
        <w:rPr>
          <w:rFonts w:hint="eastAsia" w:ascii="宋体" w:hAnsi="宋体" w:eastAsia="宋体" w:cs="宋体"/>
          <w:color w:val="auto"/>
          <w:spacing w:val="7"/>
          <w:sz w:val="24"/>
          <w:highlight w:val="none"/>
        </w:rPr>
        <w:t>（4）计量单位与第二章“投标人须知”第1.12款不符的，按招标文件规定进行修正。</w:t>
      </w:r>
    </w:p>
    <w:p w14:paraId="1A47E122">
      <w:pPr>
        <w:pStyle w:val="4"/>
        <w:spacing w:before="140" w:after="14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7、排序与推荐中标候选人</w:t>
      </w:r>
    </w:p>
    <w:p w14:paraId="52949304">
      <w:pPr>
        <w:pStyle w:val="4"/>
        <w:spacing w:before="140" w:after="140" w:line="360" w:lineRule="auto"/>
        <w:ind w:firstLine="508" w:firstLineChars="200"/>
        <w:jc w:val="left"/>
        <w:rPr>
          <w:rFonts w:ascii="宋体" w:hAnsi="宋体" w:cs="宋体"/>
          <w:b w:val="0"/>
          <w:bCs w:val="0"/>
          <w:color w:val="auto"/>
          <w:spacing w:val="7"/>
          <w:sz w:val="24"/>
          <w:szCs w:val="24"/>
          <w:highlight w:val="none"/>
        </w:rPr>
      </w:pPr>
      <w:r>
        <w:rPr>
          <w:rFonts w:hint="eastAsia" w:ascii="宋体" w:hAnsi="宋体" w:cs="宋体"/>
          <w:b w:val="0"/>
          <w:bCs w:val="0"/>
          <w:color w:val="auto"/>
          <w:spacing w:val="7"/>
          <w:sz w:val="24"/>
          <w:szCs w:val="24"/>
          <w:highlight w:val="none"/>
        </w:rPr>
        <w:t>7.1评标委员会从有效投标中按</w:t>
      </w:r>
      <w:r>
        <w:rPr>
          <w:rFonts w:hint="eastAsia" w:ascii="宋体" w:hAnsi="宋体" w:cs="宋体"/>
          <w:color w:val="auto"/>
          <w:spacing w:val="7"/>
          <w:sz w:val="24"/>
          <w:szCs w:val="24"/>
          <w:highlight w:val="none"/>
        </w:rPr>
        <w:t>投标报价</w:t>
      </w:r>
      <w:r>
        <w:rPr>
          <w:rFonts w:hint="eastAsia" w:ascii="宋体" w:hAnsi="宋体" w:cs="宋体"/>
          <w:color w:val="auto"/>
          <w:spacing w:val="7"/>
          <w:sz w:val="24"/>
          <w:szCs w:val="24"/>
          <w:highlight w:val="none"/>
        </w:rPr>
        <w:sym w:font="Wingdings 2" w:char="0052"/>
      </w:r>
      <w:r>
        <w:rPr>
          <w:rFonts w:hint="eastAsia" w:ascii="宋体" w:hAnsi="宋体" w:cs="宋体"/>
          <w:color w:val="auto"/>
          <w:spacing w:val="7"/>
          <w:sz w:val="24"/>
          <w:szCs w:val="24"/>
          <w:highlight w:val="none"/>
        </w:rPr>
        <w:t>由低到高</w:t>
      </w:r>
      <w:r>
        <w:rPr>
          <w:rFonts w:hint="eastAsia" w:ascii="宋体" w:hAnsi="宋体" w:cs="宋体"/>
          <w:b w:val="0"/>
          <w:bCs w:val="0"/>
          <w:color w:val="auto"/>
          <w:spacing w:val="7"/>
          <w:sz w:val="24"/>
          <w:szCs w:val="24"/>
          <w:highlight w:val="none"/>
        </w:rPr>
        <w:t>推荐中标候选人（中标候选人数见投标人须知前附表）。若报价相同，则由评标委员会按少数服从多数的原则通过投票表决决定排名先后。</w:t>
      </w:r>
    </w:p>
    <w:p w14:paraId="28D8ED1A">
      <w:pPr>
        <w:pStyle w:val="4"/>
        <w:spacing w:before="140" w:after="140"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8、完成评标报告</w:t>
      </w:r>
    </w:p>
    <w:p w14:paraId="250CC076">
      <w:pPr>
        <w:spacing w:line="400" w:lineRule="exact"/>
        <w:ind w:right="2" w:firstLine="422"/>
        <w:rPr>
          <w:rFonts w:ascii="宋体" w:hAnsi="宋体" w:eastAsia="宋体" w:cs="宋体"/>
          <w:color w:val="auto"/>
          <w:sz w:val="24"/>
          <w:highlight w:val="none"/>
        </w:rPr>
      </w:pPr>
      <w:r>
        <w:rPr>
          <w:rFonts w:hint="eastAsia" w:ascii="宋体" w:hAnsi="宋体" w:eastAsia="宋体" w:cs="宋体"/>
          <w:color w:val="auto"/>
          <w:spacing w:val="6"/>
          <w:sz w:val="24"/>
          <w:highlight w:val="none"/>
        </w:rPr>
        <w:t xml:space="preserve">8.1 </w:t>
      </w:r>
      <w:r>
        <w:rPr>
          <w:rFonts w:hint="eastAsia" w:ascii="宋体" w:hAnsi="宋体" w:eastAsia="宋体" w:cs="宋体"/>
          <w:color w:val="auto"/>
          <w:spacing w:val="11"/>
          <w:sz w:val="24"/>
          <w:highlight w:val="none"/>
        </w:rPr>
        <w:t>评标委员会完成评标后，应当根据全体评标成员签字的原始评标记录和</w:t>
      </w:r>
      <w:r>
        <w:rPr>
          <w:rFonts w:hint="eastAsia" w:ascii="宋体" w:hAnsi="宋体" w:eastAsia="宋体" w:cs="宋体"/>
          <w:color w:val="auto"/>
          <w:spacing w:val="10"/>
          <w:sz w:val="24"/>
          <w:highlight w:val="none"/>
        </w:rPr>
        <w:t>评标结果编写评标</w:t>
      </w:r>
      <w:r>
        <w:rPr>
          <w:rFonts w:hint="eastAsia" w:ascii="宋体" w:hAnsi="宋体" w:eastAsia="宋体" w:cs="宋体"/>
          <w:color w:val="auto"/>
          <w:spacing w:val="8"/>
          <w:sz w:val="24"/>
          <w:highlight w:val="none"/>
        </w:rPr>
        <w:t>报告，并推荐中标候选人，评审报告由评标委员会成员</w:t>
      </w:r>
      <w:r>
        <w:rPr>
          <w:rFonts w:hint="eastAsia" w:ascii="宋体" w:hAnsi="宋体" w:eastAsia="宋体" w:cs="宋体"/>
          <w:color w:val="auto"/>
          <w:spacing w:val="7"/>
          <w:sz w:val="24"/>
          <w:highlight w:val="none"/>
        </w:rPr>
        <w:t>签字确认提交招标人</w:t>
      </w:r>
      <w:r>
        <w:rPr>
          <w:rFonts w:hint="eastAsia" w:ascii="宋体" w:hAnsi="宋体" w:eastAsia="宋体" w:cs="宋体"/>
          <w:color w:val="auto"/>
          <w:spacing w:val="8"/>
          <w:sz w:val="24"/>
          <w:highlight w:val="none"/>
        </w:rPr>
        <w:t>，</w:t>
      </w:r>
      <w:r>
        <w:rPr>
          <w:rFonts w:hint="eastAsia" w:ascii="宋体" w:hAnsi="宋体" w:eastAsia="宋体" w:cs="宋体"/>
          <w:color w:val="auto"/>
          <w:spacing w:val="7"/>
          <w:sz w:val="24"/>
          <w:highlight w:val="none"/>
        </w:rPr>
        <w:t>并抄送有关监督部门</w:t>
      </w:r>
      <w:r>
        <w:rPr>
          <w:rFonts w:hint="eastAsia" w:ascii="宋体" w:hAnsi="宋体" w:eastAsia="宋体" w:cs="宋体"/>
          <w:color w:val="auto"/>
          <w:spacing w:val="8"/>
          <w:sz w:val="24"/>
          <w:highlight w:val="none"/>
        </w:rPr>
        <w:t>。</w:t>
      </w:r>
    </w:p>
    <w:p w14:paraId="75402350">
      <w:pPr>
        <w:spacing w:line="400" w:lineRule="exact"/>
        <w:ind w:left="3" w:right="2" w:firstLine="419"/>
        <w:rPr>
          <w:rFonts w:ascii="宋体" w:hAnsi="宋体" w:eastAsia="宋体" w:cs="宋体"/>
          <w:color w:val="auto"/>
          <w:sz w:val="24"/>
          <w:highlight w:val="none"/>
        </w:rPr>
      </w:pPr>
      <w:r>
        <w:rPr>
          <w:rFonts w:hint="eastAsia" w:ascii="宋体" w:hAnsi="宋体" w:eastAsia="宋体" w:cs="宋体"/>
          <w:color w:val="auto"/>
          <w:spacing w:val="6"/>
          <w:sz w:val="24"/>
          <w:highlight w:val="none"/>
        </w:rPr>
        <w:t xml:space="preserve">8.2 </w:t>
      </w:r>
      <w:r>
        <w:rPr>
          <w:rFonts w:hint="eastAsia" w:ascii="宋体" w:hAnsi="宋体" w:eastAsia="宋体" w:cs="宋体"/>
          <w:color w:val="auto"/>
          <w:spacing w:val="11"/>
          <w:sz w:val="24"/>
          <w:highlight w:val="none"/>
        </w:rPr>
        <w:t>评标委员会成员对需要共同认定的事项存在争议的，应当按照少数服从</w:t>
      </w:r>
      <w:r>
        <w:rPr>
          <w:rFonts w:hint="eastAsia" w:ascii="宋体" w:hAnsi="宋体" w:eastAsia="宋体" w:cs="宋体"/>
          <w:color w:val="auto"/>
          <w:spacing w:val="10"/>
          <w:sz w:val="24"/>
          <w:highlight w:val="none"/>
        </w:rPr>
        <w:t>多数的原则作出结</w:t>
      </w:r>
      <w:r>
        <w:rPr>
          <w:rFonts w:hint="eastAsia" w:ascii="宋体" w:hAnsi="宋体" w:eastAsia="宋体" w:cs="宋体"/>
          <w:color w:val="auto"/>
          <w:spacing w:val="8"/>
          <w:sz w:val="24"/>
          <w:highlight w:val="none"/>
        </w:rPr>
        <w:t>论。持不同意见的评标委员会成员应当在评标</w:t>
      </w:r>
      <w:r>
        <w:rPr>
          <w:rFonts w:hint="eastAsia" w:ascii="宋体" w:hAnsi="宋体" w:eastAsia="宋体" w:cs="宋体"/>
          <w:color w:val="auto"/>
          <w:spacing w:val="7"/>
          <w:sz w:val="24"/>
          <w:highlight w:val="none"/>
        </w:rPr>
        <w:t>报告上签署不同意见及理由</w:t>
      </w:r>
      <w:r>
        <w:rPr>
          <w:rFonts w:hint="eastAsia" w:ascii="宋体" w:hAnsi="宋体" w:eastAsia="宋体" w:cs="宋体"/>
          <w:color w:val="auto"/>
          <w:spacing w:val="8"/>
          <w:sz w:val="24"/>
          <w:highlight w:val="none"/>
        </w:rPr>
        <w:t>，</w:t>
      </w:r>
      <w:r>
        <w:rPr>
          <w:rFonts w:hint="eastAsia" w:ascii="宋体" w:hAnsi="宋体" w:eastAsia="宋体" w:cs="宋体"/>
          <w:color w:val="auto"/>
          <w:spacing w:val="7"/>
          <w:sz w:val="24"/>
          <w:highlight w:val="none"/>
        </w:rPr>
        <w:t>否则视为同意评标报告</w:t>
      </w:r>
      <w:r>
        <w:rPr>
          <w:rFonts w:hint="eastAsia" w:ascii="宋体" w:hAnsi="宋体" w:eastAsia="宋体" w:cs="宋体"/>
          <w:color w:val="auto"/>
          <w:spacing w:val="8"/>
          <w:sz w:val="24"/>
          <w:highlight w:val="none"/>
        </w:rPr>
        <w:t>。</w:t>
      </w:r>
    </w:p>
    <w:p w14:paraId="3897B9F6">
      <w:pPr>
        <w:spacing w:line="400" w:lineRule="exact"/>
        <w:ind w:firstLine="422"/>
        <w:rPr>
          <w:rFonts w:ascii="宋体" w:hAnsi="宋体" w:eastAsia="宋体" w:cs="宋体"/>
          <w:color w:val="auto"/>
          <w:sz w:val="24"/>
          <w:highlight w:val="none"/>
        </w:rPr>
      </w:pPr>
      <w:r>
        <w:rPr>
          <w:rFonts w:hint="eastAsia" w:ascii="宋体" w:hAnsi="宋体" w:eastAsia="宋体" w:cs="宋体"/>
          <w:color w:val="auto"/>
          <w:spacing w:val="3"/>
          <w:sz w:val="24"/>
          <w:highlight w:val="none"/>
        </w:rPr>
        <w:t xml:space="preserve">8.3 </w:t>
      </w:r>
      <w:r>
        <w:rPr>
          <w:rFonts w:hint="eastAsia" w:ascii="宋体" w:hAnsi="宋体" w:eastAsia="宋体" w:cs="宋体"/>
          <w:color w:val="auto"/>
          <w:spacing w:val="5"/>
          <w:sz w:val="24"/>
          <w:highlight w:val="none"/>
        </w:rPr>
        <w:t>评标报告应包</w:t>
      </w:r>
      <w:r>
        <w:rPr>
          <w:rFonts w:hint="eastAsia" w:ascii="宋体" w:hAnsi="宋体" w:eastAsia="宋体" w:cs="宋体"/>
          <w:color w:val="auto"/>
          <w:spacing w:val="4"/>
          <w:sz w:val="24"/>
          <w:highlight w:val="none"/>
        </w:rPr>
        <w:t>括以下内容</w:t>
      </w:r>
      <w:r>
        <w:rPr>
          <w:rFonts w:hint="eastAsia" w:ascii="宋体" w:hAnsi="宋体" w:eastAsia="宋体" w:cs="宋体"/>
          <w:color w:val="auto"/>
          <w:spacing w:val="5"/>
          <w:sz w:val="24"/>
          <w:highlight w:val="none"/>
        </w:rPr>
        <w:t>：</w:t>
      </w:r>
    </w:p>
    <w:p w14:paraId="2FC5DC9F">
      <w:pPr>
        <w:spacing w:line="400" w:lineRule="exact"/>
        <w:ind w:firstLine="431"/>
        <w:rPr>
          <w:rFonts w:ascii="宋体" w:hAnsi="宋体" w:eastAsia="宋体" w:cs="宋体"/>
          <w:color w:val="auto"/>
          <w:sz w:val="24"/>
          <w:highlight w:val="none"/>
        </w:rPr>
      </w:pPr>
      <w:r>
        <w:rPr>
          <w:rFonts w:hint="eastAsia" w:ascii="宋体" w:hAnsi="宋体" w:eastAsia="宋体" w:cs="宋体"/>
          <w:color w:val="auto"/>
          <w:spacing w:val="6"/>
          <w:sz w:val="24"/>
          <w:highlight w:val="none"/>
        </w:rPr>
        <w:t>（</w:t>
      </w:r>
      <w:r>
        <w:rPr>
          <w:rFonts w:hint="eastAsia" w:ascii="宋体" w:hAnsi="宋体" w:eastAsia="宋体" w:cs="宋体"/>
          <w:color w:val="auto"/>
          <w:spacing w:val="3"/>
          <w:sz w:val="24"/>
          <w:highlight w:val="none"/>
        </w:rPr>
        <w:t>1</w:t>
      </w:r>
      <w:r>
        <w:rPr>
          <w:rFonts w:hint="eastAsia" w:ascii="宋体" w:hAnsi="宋体" w:eastAsia="宋体" w:cs="宋体"/>
          <w:color w:val="auto"/>
          <w:spacing w:val="8"/>
          <w:sz w:val="24"/>
          <w:highlight w:val="none"/>
        </w:rPr>
        <w:t>）</w:t>
      </w:r>
      <w:r>
        <w:rPr>
          <w:rFonts w:hint="eastAsia" w:ascii="宋体" w:hAnsi="宋体" w:eastAsia="宋体" w:cs="宋体"/>
          <w:color w:val="auto"/>
          <w:spacing w:val="5"/>
          <w:sz w:val="24"/>
          <w:highlight w:val="none"/>
        </w:rPr>
        <w:t>开标记录</w:t>
      </w:r>
      <w:r>
        <w:rPr>
          <w:rFonts w:hint="eastAsia" w:ascii="宋体" w:hAnsi="宋体" w:eastAsia="宋体" w:cs="宋体"/>
          <w:color w:val="auto"/>
          <w:spacing w:val="8"/>
          <w:sz w:val="24"/>
          <w:highlight w:val="none"/>
        </w:rPr>
        <w:t>；</w:t>
      </w:r>
    </w:p>
    <w:p w14:paraId="54AD99D3">
      <w:pPr>
        <w:spacing w:line="400" w:lineRule="exact"/>
        <w:ind w:firstLine="431"/>
        <w:rPr>
          <w:rFonts w:ascii="宋体" w:hAnsi="宋体" w:eastAsia="宋体" w:cs="宋体"/>
          <w:color w:val="auto"/>
          <w:sz w:val="24"/>
          <w:highlight w:val="none"/>
        </w:rPr>
      </w:pPr>
      <w:r>
        <w:rPr>
          <w:rFonts w:hint="eastAsia" w:ascii="宋体" w:hAnsi="宋体" w:eastAsia="宋体" w:cs="宋体"/>
          <w:color w:val="auto"/>
          <w:spacing w:val="8"/>
          <w:sz w:val="24"/>
          <w:highlight w:val="none"/>
        </w:rPr>
        <w:t>（</w:t>
      </w:r>
      <w:r>
        <w:rPr>
          <w:rFonts w:hint="eastAsia" w:ascii="宋体" w:hAnsi="宋体" w:eastAsia="宋体" w:cs="宋体"/>
          <w:color w:val="auto"/>
          <w:spacing w:val="5"/>
          <w:sz w:val="24"/>
          <w:highlight w:val="none"/>
        </w:rPr>
        <w:t>2</w:t>
      </w:r>
      <w:r>
        <w:rPr>
          <w:rFonts w:hint="eastAsia" w:ascii="宋体" w:hAnsi="宋体" w:eastAsia="宋体" w:cs="宋体"/>
          <w:color w:val="auto"/>
          <w:spacing w:val="9"/>
          <w:sz w:val="24"/>
          <w:highlight w:val="none"/>
        </w:rPr>
        <w:t>）</w:t>
      </w:r>
      <w:r>
        <w:rPr>
          <w:rFonts w:hint="eastAsia" w:ascii="宋体" w:hAnsi="宋体" w:eastAsia="宋体" w:cs="宋体"/>
          <w:color w:val="auto"/>
          <w:spacing w:val="8"/>
          <w:sz w:val="24"/>
          <w:highlight w:val="none"/>
        </w:rPr>
        <w:t>评标</w:t>
      </w:r>
      <w:r>
        <w:rPr>
          <w:rFonts w:hint="eastAsia" w:ascii="宋体" w:hAnsi="宋体" w:eastAsia="宋体" w:cs="宋体"/>
          <w:color w:val="auto"/>
          <w:spacing w:val="7"/>
          <w:sz w:val="24"/>
          <w:highlight w:val="none"/>
        </w:rPr>
        <w:t>内容</w:t>
      </w:r>
      <w:r>
        <w:rPr>
          <w:rFonts w:hint="eastAsia" w:ascii="宋体" w:hAnsi="宋体" w:eastAsia="宋体" w:cs="宋体"/>
          <w:color w:val="auto"/>
          <w:spacing w:val="9"/>
          <w:sz w:val="24"/>
          <w:highlight w:val="none"/>
        </w:rPr>
        <w:t>、</w:t>
      </w:r>
      <w:r>
        <w:rPr>
          <w:rFonts w:hint="eastAsia" w:ascii="宋体" w:hAnsi="宋体" w:eastAsia="宋体" w:cs="宋体"/>
          <w:color w:val="auto"/>
          <w:spacing w:val="7"/>
          <w:sz w:val="24"/>
          <w:highlight w:val="none"/>
        </w:rPr>
        <w:t>过程和结果</w:t>
      </w:r>
      <w:r>
        <w:rPr>
          <w:rFonts w:hint="eastAsia" w:ascii="宋体" w:hAnsi="宋体" w:eastAsia="宋体" w:cs="宋体"/>
          <w:color w:val="auto"/>
          <w:spacing w:val="9"/>
          <w:sz w:val="24"/>
          <w:highlight w:val="none"/>
        </w:rPr>
        <w:t>；</w:t>
      </w:r>
    </w:p>
    <w:p w14:paraId="22F31A3B">
      <w:pPr>
        <w:spacing w:line="400" w:lineRule="exact"/>
        <w:ind w:firstLine="431"/>
        <w:rPr>
          <w:rFonts w:ascii="宋体" w:hAnsi="宋体" w:eastAsia="宋体" w:cs="宋体"/>
          <w:color w:val="auto"/>
          <w:sz w:val="24"/>
          <w:highlight w:val="none"/>
        </w:rPr>
      </w:pPr>
      <w:r>
        <w:rPr>
          <w:rFonts w:hint="eastAsia" w:ascii="宋体" w:hAnsi="宋体" w:eastAsia="宋体" w:cs="宋体"/>
          <w:color w:val="auto"/>
          <w:spacing w:val="6"/>
          <w:sz w:val="24"/>
          <w:highlight w:val="none"/>
        </w:rPr>
        <w:t>（</w:t>
      </w:r>
      <w:r>
        <w:rPr>
          <w:rFonts w:hint="eastAsia" w:ascii="宋体" w:hAnsi="宋体" w:eastAsia="宋体" w:cs="宋体"/>
          <w:color w:val="auto"/>
          <w:spacing w:val="3"/>
          <w:sz w:val="24"/>
          <w:highlight w:val="none"/>
        </w:rPr>
        <w:t>3</w:t>
      </w:r>
      <w:r>
        <w:rPr>
          <w:rFonts w:hint="eastAsia" w:ascii="宋体" w:hAnsi="宋体" w:eastAsia="宋体" w:cs="宋体"/>
          <w:color w:val="auto"/>
          <w:spacing w:val="8"/>
          <w:sz w:val="24"/>
          <w:highlight w:val="none"/>
        </w:rPr>
        <w:t>）</w:t>
      </w:r>
      <w:r>
        <w:rPr>
          <w:rFonts w:hint="eastAsia" w:ascii="宋体" w:hAnsi="宋体" w:eastAsia="宋体" w:cs="宋体"/>
          <w:color w:val="auto"/>
          <w:spacing w:val="6"/>
          <w:sz w:val="24"/>
          <w:highlight w:val="none"/>
        </w:rPr>
        <w:t>否决投标情况说明及依据（包括对投标竞争性认定的理由（若有</w:t>
      </w:r>
      <w:r>
        <w:rPr>
          <w:rFonts w:hint="eastAsia" w:ascii="宋体" w:hAnsi="宋体" w:eastAsia="宋体" w:cs="宋体"/>
          <w:color w:val="auto"/>
          <w:spacing w:val="7"/>
          <w:sz w:val="24"/>
          <w:highlight w:val="none"/>
        </w:rPr>
        <w:t>））；</w:t>
      </w:r>
    </w:p>
    <w:p w14:paraId="63421675">
      <w:pPr>
        <w:spacing w:line="400" w:lineRule="exact"/>
        <w:ind w:firstLine="431"/>
        <w:rPr>
          <w:rFonts w:ascii="宋体" w:hAnsi="宋体" w:eastAsia="宋体" w:cs="宋体"/>
          <w:color w:val="auto"/>
          <w:sz w:val="24"/>
          <w:highlight w:val="none"/>
        </w:rPr>
      </w:pPr>
      <w:r>
        <w:rPr>
          <w:rFonts w:hint="eastAsia" w:ascii="宋体" w:hAnsi="宋体" w:eastAsia="宋体" w:cs="宋体"/>
          <w:color w:val="auto"/>
          <w:spacing w:val="7"/>
          <w:sz w:val="24"/>
          <w:highlight w:val="none"/>
        </w:rPr>
        <w:t>（</w:t>
      </w:r>
      <w:r>
        <w:rPr>
          <w:rFonts w:hint="eastAsia" w:ascii="宋体" w:hAnsi="宋体" w:eastAsia="宋体" w:cs="宋体"/>
          <w:color w:val="auto"/>
          <w:spacing w:val="4"/>
          <w:sz w:val="24"/>
          <w:highlight w:val="none"/>
        </w:rPr>
        <w:t>4</w:t>
      </w:r>
      <w:r>
        <w:rPr>
          <w:rFonts w:hint="eastAsia" w:ascii="宋体" w:hAnsi="宋体" w:eastAsia="宋体" w:cs="宋体"/>
          <w:color w:val="auto"/>
          <w:spacing w:val="9"/>
          <w:sz w:val="24"/>
          <w:highlight w:val="none"/>
        </w:rPr>
        <w:t>）</w:t>
      </w:r>
      <w:r>
        <w:rPr>
          <w:rFonts w:hint="eastAsia" w:ascii="宋体" w:hAnsi="宋体" w:eastAsia="宋体" w:cs="宋体"/>
          <w:color w:val="auto"/>
          <w:spacing w:val="6"/>
          <w:sz w:val="24"/>
          <w:highlight w:val="none"/>
        </w:rPr>
        <w:t>询标澄清纪要</w:t>
      </w:r>
      <w:r>
        <w:rPr>
          <w:rFonts w:hint="eastAsia" w:ascii="宋体" w:hAnsi="宋体" w:eastAsia="宋体" w:cs="宋体"/>
          <w:color w:val="auto"/>
          <w:spacing w:val="9"/>
          <w:sz w:val="24"/>
          <w:highlight w:val="none"/>
        </w:rPr>
        <w:t>；</w:t>
      </w:r>
    </w:p>
    <w:p w14:paraId="79647C37">
      <w:pPr>
        <w:spacing w:line="400" w:lineRule="exact"/>
        <w:ind w:firstLine="431"/>
        <w:rPr>
          <w:rFonts w:ascii="宋体" w:hAnsi="宋体" w:eastAsia="宋体" w:cs="宋体"/>
          <w:color w:val="auto"/>
          <w:spacing w:val="8"/>
          <w:sz w:val="24"/>
          <w:highlight w:val="none"/>
        </w:rPr>
      </w:pPr>
      <w:r>
        <w:rPr>
          <w:rFonts w:hint="eastAsia" w:ascii="宋体" w:hAnsi="宋体" w:eastAsia="宋体" w:cs="宋体"/>
          <w:color w:val="auto"/>
          <w:spacing w:val="9"/>
          <w:sz w:val="24"/>
          <w:highlight w:val="none"/>
        </w:rPr>
        <w:t>（</w:t>
      </w:r>
      <w:r>
        <w:rPr>
          <w:rFonts w:hint="eastAsia" w:ascii="宋体" w:hAnsi="宋体" w:eastAsia="宋体" w:cs="宋体"/>
          <w:color w:val="auto"/>
          <w:spacing w:val="4"/>
          <w:sz w:val="24"/>
          <w:highlight w:val="none"/>
        </w:rPr>
        <w:t>5</w:t>
      </w:r>
      <w:r>
        <w:rPr>
          <w:rFonts w:hint="eastAsia" w:ascii="宋体" w:hAnsi="宋体" w:eastAsia="宋体" w:cs="宋体"/>
          <w:color w:val="auto"/>
          <w:spacing w:val="10"/>
          <w:sz w:val="24"/>
          <w:highlight w:val="none"/>
        </w:rPr>
        <w:t>）</w:t>
      </w:r>
      <w:r>
        <w:rPr>
          <w:rFonts w:hint="eastAsia" w:ascii="宋体" w:hAnsi="宋体" w:eastAsia="宋体" w:cs="宋体"/>
          <w:color w:val="auto"/>
          <w:spacing w:val="8"/>
          <w:sz w:val="24"/>
          <w:highlight w:val="none"/>
        </w:rPr>
        <w:t>中标候选人的优劣对比和存在问题（</w:t>
      </w:r>
      <w:r>
        <w:rPr>
          <w:rFonts w:hint="eastAsia" w:ascii="宋体" w:hAnsi="宋体" w:eastAsia="宋体" w:cs="宋体"/>
          <w:color w:val="auto"/>
          <w:spacing w:val="6"/>
          <w:sz w:val="24"/>
          <w:highlight w:val="none"/>
        </w:rPr>
        <w:t>若有</w:t>
      </w:r>
      <w:r>
        <w:rPr>
          <w:rFonts w:hint="eastAsia" w:ascii="宋体" w:hAnsi="宋体" w:eastAsia="宋体" w:cs="宋体"/>
          <w:color w:val="auto"/>
          <w:spacing w:val="8"/>
          <w:sz w:val="24"/>
          <w:highlight w:val="none"/>
        </w:rPr>
        <w:t>）；</w:t>
      </w:r>
    </w:p>
    <w:p w14:paraId="1EFE3189">
      <w:pPr>
        <w:spacing w:line="400" w:lineRule="exact"/>
        <w:ind w:firstLine="431"/>
        <w:rPr>
          <w:rFonts w:ascii="宋体" w:hAnsi="宋体" w:eastAsia="宋体" w:cs="宋体"/>
          <w:color w:val="auto"/>
          <w:spacing w:val="8"/>
          <w:sz w:val="24"/>
          <w:highlight w:val="none"/>
        </w:rPr>
      </w:pPr>
      <w:r>
        <w:rPr>
          <w:rFonts w:hint="eastAsia" w:ascii="宋体" w:hAnsi="宋体" w:eastAsia="宋体" w:cs="宋体"/>
          <w:color w:val="auto"/>
          <w:spacing w:val="8"/>
          <w:sz w:val="24"/>
          <w:highlight w:val="none"/>
        </w:rPr>
        <w:t>（6）评标委员会成员的不同意见及理由（若有）；</w:t>
      </w:r>
    </w:p>
    <w:p w14:paraId="18BF0972">
      <w:pPr>
        <w:spacing w:line="400" w:lineRule="exact"/>
        <w:ind w:firstLine="431"/>
        <w:rPr>
          <w:rFonts w:ascii="宋体" w:hAnsi="宋体" w:eastAsia="宋体" w:cs="宋体"/>
          <w:b/>
          <w:bCs/>
          <w:color w:val="auto"/>
          <w:sz w:val="24"/>
          <w:highlight w:val="none"/>
        </w:rPr>
      </w:pPr>
      <w:r>
        <w:rPr>
          <w:rFonts w:hint="eastAsia" w:ascii="宋体" w:hAnsi="宋体" w:eastAsia="宋体" w:cs="宋体"/>
          <w:color w:val="auto"/>
          <w:spacing w:val="8"/>
          <w:sz w:val="24"/>
          <w:highlight w:val="none"/>
        </w:rPr>
        <w:t>（7）其他建议。</w:t>
      </w:r>
    </w:p>
    <w:p w14:paraId="73DA287D">
      <w:pPr>
        <w:spacing w:line="400" w:lineRule="exact"/>
        <w:ind w:firstLine="431"/>
        <w:rPr>
          <w:rFonts w:ascii="宋体" w:hAnsi="宋体" w:eastAsia="宋体" w:cs="宋体"/>
          <w:b/>
          <w:bCs/>
          <w:color w:val="auto"/>
          <w:sz w:val="24"/>
          <w:highlight w:val="none"/>
        </w:rPr>
      </w:pPr>
    </w:p>
    <w:p w14:paraId="13502798">
      <w:pPr>
        <w:widowControl/>
        <w:numPr>
          <w:ilvl w:val="255"/>
          <w:numId w:val="0"/>
        </w:numPr>
        <w:jc w:val="left"/>
        <w:rPr>
          <w:rFonts w:ascii="宋体" w:hAnsi="宋体" w:eastAsia="宋体" w:cs="宋体"/>
          <w:b/>
          <w:color w:val="auto"/>
          <w:kern w:val="44"/>
          <w:szCs w:val="44"/>
          <w:highlight w:val="none"/>
        </w:rPr>
      </w:pPr>
      <w:r>
        <w:rPr>
          <w:rFonts w:hint="eastAsia" w:ascii="宋体" w:hAnsi="宋体" w:eastAsia="宋体" w:cs="宋体"/>
          <w:b/>
          <w:color w:val="auto"/>
          <w:kern w:val="44"/>
          <w:szCs w:val="44"/>
          <w:highlight w:val="none"/>
        </w:rPr>
        <w:br w:type="page"/>
      </w:r>
    </w:p>
    <w:p w14:paraId="050BA027">
      <w:pPr>
        <w:widowControl/>
        <w:numPr>
          <w:ilvl w:val="0"/>
          <w:numId w:val="4"/>
        </w:numPr>
        <w:spacing w:line="360" w:lineRule="auto"/>
        <w:jc w:val="center"/>
        <w:outlineLvl w:val="0"/>
        <w:rPr>
          <w:rFonts w:ascii="宋体" w:hAnsi="宋体" w:eastAsia="宋体" w:cs="宋体"/>
          <w:bCs/>
          <w:color w:val="auto"/>
          <w:kern w:val="44"/>
          <w:szCs w:val="44"/>
          <w:highlight w:val="none"/>
        </w:rPr>
      </w:pPr>
      <w:r>
        <w:rPr>
          <w:rFonts w:hint="eastAsia" w:ascii="宋体" w:hAnsi="宋体" w:eastAsia="宋体" w:cs="宋体"/>
          <w:bCs/>
          <w:color w:val="auto"/>
          <w:kern w:val="44"/>
          <w:szCs w:val="44"/>
          <w:highlight w:val="none"/>
        </w:rPr>
        <w:t>投标文件格式</w:t>
      </w:r>
      <w:bookmarkEnd w:id="89"/>
      <w:bookmarkEnd w:id="90"/>
    </w:p>
    <w:p w14:paraId="2A0BB8E8">
      <w:pPr>
        <w:wordWrap w:val="0"/>
        <w:rPr>
          <w:rFonts w:ascii="宋体" w:hAnsi="宋体" w:eastAsia="宋体" w:cs="宋体"/>
          <w:b/>
          <w:bCs/>
          <w:color w:val="auto"/>
          <w:sz w:val="24"/>
          <w:highlight w:val="none"/>
        </w:rPr>
      </w:pPr>
      <w:r>
        <w:rPr>
          <w:rFonts w:hint="eastAsia" w:ascii="宋体" w:hAnsi="宋体" w:eastAsia="宋体" w:cs="宋体"/>
          <w:b/>
          <w:bCs/>
          <w:color w:val="auto"/>
          <w:sz w:val="24"/>
          <w:highlight w:val="none"/>
        </w:rPr>
        <w:t>投标文件封面格式</w:t>
      </w:r>
    </w:p>
    <w:p w14:paraId="1EC173BA">
      <w:pPr>
        <w:adjustRightInd w:val="0"/>
        <w:snapToGrid w:val="0"/>
        <w:spacing w:line="360" w:lineRule="auto"/>
        <w:ind w:firstLine="480" w:firstLineChars="200"/>
        <w:jc w:val="center"/>
        <w:rPr>
          <w:rFonts w:ascii="宋体" w:hAnsi="宋体" w:eastAsia="宋体" w:cs="宋体"/>
          <w:snapToGrid w:val="0"/>
          <w:color w:val="auto"/>
          <w:kern w:val="0"/>
          <w:sz w:val="24"/>
          <w:highlight w:val="none"/>
        </w:rPr>
      </w:pPr>
    </w:p>
    <w:p w14:paraId="7E815912">
      <w:pPr>
        <w:adjustRightInd w:val="0"/>
        <w:snapToGrid w:val="0"/>
        <w:spacing w:line="360" w:lineRule="auto"/>
        <w:ind w:right="420"/>
        <w:jc w:val="right"/>
        <w:rPr>
          <w:rFonts w:ascii="宋体" w:hAnsi="宋体" w:eastAsia="宋体" w:cs="宋体"/>
          <w:color w:val="auto"/>
          <w:sz w:val="24"/>
          <w:highlight w:val="none"/>
        </w:rPr>
      </w:pPr>
      <w:r>
        <w:rPr>
          <w:rFonts w:hint="eastAsia" w:ascii="宋体" w:hAnsi="宋体" w:eastAsia="宋体" w:cs="宋体"/>
          <w:color w:val="auto"/>
          <w:sz w:val="24"/>
          <w:highlight w:val="none"/>
        </w:rPr>
        <w:t>正本/副本</w:t>
      </w:r>
    </w:p>
    <w:p w14:paraId="4342F1B6">
      <w:pPr>
        <w:wordWrap w:val="0"/>
        <w:spacing w:line="440" w:lineRule="exact"/>
        <w:ind w:firstLine="1440" w:firstLineChars="600"/>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p w14:paraId="7A3FBBCA">
      <w:pPr>
        <w:wordWrap w:val="0"/>
        <w:spacing w:line="440" w:lineRule="exact"/>
        <w:ind w:firstLine="240" w:firstLineChars="100"/>
        <w:rPr>
          <w:rFonts w:ascii="宋体" w:hAnsi="宋体" w:eastAsia="宋体" w:cs="宋体"/>
          <w:color w:val="auto"/>
          <w:sz w:val="24"/>
          <w:highlight w:val="none"/>
        </w:rPr>
      </w:pPr>
    </w:p>
    <w:p w14:paraId="7A142B11">
      <w:pPr>
        <w:wordWrap w:val="0"/>
        <w:spacing w:line="440" w:lineRule="exact"/>
        <w:ind w:firstLine="1440" w:firstLineChars="600"/>
        <w:rPr>
          <w:rFonts w:ascii="宋体" w:hAnsi="宋体" w:eastAsia="宋体" w:cs="宋体"/>
          <w:color w:val="auto"/>
          <w:sz w:val="24"/>
          <w:highlight w:val="none"/>
        </w:rPr>
      </w:pPr>
      <w:r>
        <w:rPr>
          <w:rFonts w:hint="eastAsia" w:ascii="宋体" w:hAnsi="宋体" w:eastAsia="宋体" w:cs="宋体"/>
          <w:color w:val="auto"/>
          <w:sz w:val="24"/>
          <w:highlight w:val="none"/>
        </w:rPr>
        <w:t>招标编号：</w:t>
      </w:r>
    </w:p>
    <w:p w14:paraId="72C52096">
      <w:pPr>
        <w:wordWrap w:val="0"/>
        <w:spacing w:line="440" w:lineRule="exact"/>
        <w:rPr>
          <w:rFonts w:ascii="宋体" w:hAnsi="宋体" w:eastAsia="宋体" w:cs="宋体"/>
          <w:color w:val="auto"/>
          <w:sz w:val="24"/>
          <w:highlight w:val="none"/>
        </w:rPr>
      </w:pPr>
    </w:p>
    <w:p w14:paraId="0F800C9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E7088B9">
      <w:pPr>
        <w:adjustRightInd w:val="0"/>
        <w:snapToGrid w:val="0"/>
        <w:spacing w:line="360" w:lineRule="auto"/>
        <w:jc w:val="center"/>
        <w:rPr>
          <w:rFonts w:ascii="宋体" w:hAnsi="宋体" w:eastAsia="宋体" w:cs="宋体"/>
          <w:color w:val="auto"/>
          <w:sz w:val="24"/>
          <w:highlight w:val="none"/>
        </w:rPr>
      </w:pPr>
    </w:p>
    <w:p w14:paraId="7E3A090E">
      <w:pPr>
        <w:adjustRightInd w:val="0"/>
        <w:snapToGrid w:val="0"/>
        <w:spacing w:line="360" w:lineRule="auto"/>
        <w:jc w:val="center"/>
        <w:rPr>
          <w:rFonts w:ascii="宋体" w:hAnsi="宋体" w:eastAsia="宋体" w:cs="宋体"/>
          <w:bCs/>
          <w:color w:val="auto"/>
          <w:sz w:val="24"/>
          <w:highlight w:val="none"/>
        </w:rPr>
      </w:pPr>
      <w:r>
        <w:rPr>
          <w:rFonts w:hint="eastAsia" w:ascii="宋体" w:hAnsi="宋体" w:eastAsia="宋体" w:cs="宋体"/>
          <w:bCs/>
          <w:color w:val="auto"/>
          <w:sz w:val="24"/>
          <w:highlight w:val="none"/>
        </w:rPr>
        <w:t>投 标 文 件</w:t>
      </w:r>
    </w:p>
    <w:p w14:paraId="137A54DA">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715DEEC">
      <w:pPr>
        <w:adjustRightInd w:val="0"/>
        <w:snapToGrid w:val="0"/>
        <w:spacing w:line="360" w:lineRule="auto"/>
        <w:ind w:firstLine="480" w:firstLineChars="200"/>
        <w:rPr>
          <w:rFonts w:ascii="宋体" w:hAnsi="宋体" w:eastAsia="宋体" w:cs="宋体"/>
          <w:color w:val="auto"/>
          <w:sz w:val="24"/>
          <w:highlight w:val="none"/>
        </w:rPr>
      </w:pPr>
    </w:p>
    <w:p w14:paraId="7D15F89E">
      <w:pPr>
        <w:adjustRightInd w:val="0"/>
        <w:snapToGrid w:val="0"/>
        <w:spacing w:line="360" w:lineRule="auto"/>
        <w:ind w:firstLine="480" w:firstLineChars="200"/>
        <w:rPr>
          <w:rFonts w:ascii="宋体" w:hAnsi="宋体" w:eastAsia="宋体" w:cs="宋体"/>
          <w:color w:val="auto"/>
          <w:sz w:val="24"/>
          <w:highlight w:val="none"/>
        </w:rPr>
      </w:pPr>
    </w:p>
    <w:p w14:paraId="4EEFD363">
      <w:pPr>
        <w:adjustRightInd w:val="0"/>
        <w:snapToGrid w:val="0"/>
        <w:spacing w:line="360" w:lineRule="auto"/>
        <w:ind w:firstLine="480" w:firstLineChars="200"/>
        <w:rPr>
          <w:rFonts w:ascii="宋体" w:hAnsi="宋体" w:eastAsia="宋体" w:cs="宋体"/>
          <w:color w:val="auto"/>
          <w:sz w:val="24"/>
          <w:highlight w:val="none"/>
        </w:rPr>
      </w:pPr>
    </w:p>
    <w:p w14:paraId="618D5EE5">
      <w:pPr>
        <w:adjustRightInd w:val="0"/>
        <w:snapToGrid w:val="0"/>
        <w:spacing w:line="360" w:lineRule="auto"/>
        <w:rPr>
          <w:rFonts w:ascii="宋体" w:hAnsi="宋体" w:eastAsia="宋体" w:cs="宋体"/>
          <w:color w:val="auto"/>
          <w:sz w:val="24"/>
          <w:highlight w:val="none"/>
        </w:rPr>
      </w:pPr>
    </w:p>
    <w:p w14:paraId="077E608B">
      <w:pPr>
        <w:adjustRightInd w:val="0"/>
        <w:snapToGrid w:val="0"/>
        <w:spacing w:line="360" w:lineRule="auto"/>
        <w:ind w:firstLine="480" w:firstLineChars="200"/>
        <w:jc w:val="center"/>
        <w:rPr>
          <w:rFonts w:ascii="宋体" w:hAnsi="宋体" w:eastAsia="宋体" w:cs="宋体"/>
          <w:color w:val="auto"/>
          <w:sz w:val="24"/>
          <w:highlight w:val="none"/>
        </w:rPr>
      </w:pPr>
    </w:p>
    <w:p w14:paraId="164A76CF">
      <w:pPr>
        <w:adjustRightInd w:val="0"/>
        <w:snapToGrid w:val="0"/>
        <w:spacing w:line="360" w:lineRule="auto"/>
        <w:ind w:firstLine="480" w:firstLineChars="200"/>
        <w:jc w:val="center"/>
        <w:rPr>
          <w:rFonts w:ascii="宋体" w:hAnsi="宋体" w:eastAsia="宋体" w:cs="宋体"/>
          <w:color w:val="auto"/>
          <w:sz w:val="24"/>
          <w:highlight w:val="none"/>
        </w:rPr>
      </w:pPr>
    </w:p>
    <w:p w14:paraId="41BCB386">
      <w:pPr>
        <w:adjustRightInd w:val="0"/>
        <w:snapToGrid w:val="0"/>
        <w:spacing w:line="360" w:lineRule="auto"/>
        <w:ind w:firstLine="480" w:firstLineChars="200"/>
        <w:jc w:val="center"/>
        <w:rPr>
          <w:rFonts w:ascii="宋体" w:hAnsi="宋体" w:eastAsia="宋体" w:cs="宋体"/>
          <w:color w:val="auto"/>
          <w:sz w:val="24"/>
          <w:highlight w:val="none"/>
        </w:rPr>
      </w:pPr>
    </w:p>
    <w:p w14:paraId="7F3FEABA">
      <w:pPr>
        <w:adjustRightInd w:val="0"/>
        <w:snapToGrid w:val="0"/>
        <w:spacing w:line="360" w:lineRule="auto"/>
        <w:ind w:firstLine="1200" w:firstLineChars="500"/>
        <w:rPr>
          <w:rFonts w:ascii="宋体" w:hAnsi="宋体" w:eastAsia="宋体" w:cs="宋体"/>
          <w:snapToGrid w:val="0"/>
          <w:color w:val="auto"/>
          <w:kern w:val="0"/>
          <w:sz w:val="24"/>
          <w:highlight w:val="none"/>
          <w:u w:val="single"/>
        </w:rPr>
      </w:pPr>
      <w:r>
        <w:rPr>
          <w:rFonts w:hint="eastAsia" w:ascii="宋体" w:hAnsi="宋体" w:eastAsia="宋体" w:cs="宋体"/>
          <w:snapToGrid w:val="0"/>
          <w:color w:val="auto"/>
          <w:kern w:val="0"/>
          <w:sz w:val="24"/>
          <w:highlight w:val="none"/>
        </w:rPr>
        <w:t>投标人：</w:t>
      </w:r>
      <w:r>
        <w:rPr>
          <w:rFonts w:hint="eastAsia" w:ascii="宋体" w:hAnsi="宋体" w:eastAsia="宋体" w:cs="宋体"/>
          <w:snapToGrid w:val="0"/>
          <w:color w:val="auto"/>
          <w:kern w:val="0"/>
          <w:sz w:val="24"/>
          <w:highlight w:val="none"/>
          <w:u w:val="single"/>
        </w:rPr>
        <w:t xml:space="preserve">                     （盖单位公章）</w:t>
      </w:r>
    </w:p>
    <w:p w14:paraId="521CD39C">
      <w:pPr>
        <w:adjustRightInd w:val="0"/>
        <w:snapToGrid w:val="0"/>
        <w:spacing w:line="360" w:lineRule="auto"/>
        <w:ind w:firstLine="1200" w:firstLineChars="5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法定代表人（负责人）或其委托代理人：</w:t>
      </w:r>
      <w:r>
        <w:rPr>
          <w:rFonts w:hint="eastAsia" w:ascii="宋体" w:hAnsi="宋体" w:eastAsia="宋体" w:cs="宋体"/>
          <w:snapToGrid w:val="0"/>
          <w:color w:val="auto"/>
          <w:kern w:val="0"/>
          <w:sz w:val="24"/>
          <w:highlight w:val="none"/>
          <w:u w:val="single"/>
        </w:rPr>
        <w:t xml:space="preserve">   （签字或盖章）</w:t>
      </w:r>
    </w:p>
    <w:p w14:paraId="36EEF332">
      <w:pPr>
        <w:adjustRightInd w:val="0"/>
        <w:snapToGrid w:val="0"/>
        <w:spacing w:line="360" w:lineRule="auto"/>
        <w:ind w:firstLine="1200" w:firstLineChars="500"/>
        <w:rPr>
          <w:rFonts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日  期：</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年</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月</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日</w:t>
      </w:r>
    </w:p>
    <w:p w14:paraId="07F491BF">
      <w:pPr>
        <w:adjustRightInd w:val="0"/>
        <w:snapToGrid w:val="0"/>
        <w:spacing w:line="360" w:lineRule="auto"/>
        <w:jc w:val="center"/>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br w:type="page"/>
      </w:r>
      <w:bookmarkStart w:id="91" w:name="_Toc83886040"/>
      <w:bookmarkStart w:id="92" w:name="_Toc17952"/>
      <w:r>
        <w:rPr>
          <w:rFonts w:hint="eastAsia" w:ascii="宋体" w:hAnsi="宋体" w:eastAsia="宋体" w:cs="宋体"/>
          <w:b/>
          <w:bCs/>
          <w:color w:val="auto"/>
          <w:sz w:val="24"/>
          <w:highlight w:val="none"/>
        </w:rPr>
        <w:t>资格审查索引</w:t>
      </w:r>
      <w:bookmarkEnd w:id="91"/>
      <w:bookmarkEnd w:id="92"/>
    </w:p>
    <w:tbl>
      <w:tblPr>
        <w:tblStyle w:val="25"/>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6E6E9D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4C87F1ED">
            <w:pPr>
              <w:snapToGrid w:val="0"/>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470" w:type="dxa"/>
            <w:vAlign w:val="center"/>
          </w:tcPr>
          <w:p w14:paraId="1658EB04">
            <w:pPr>
              <w:snapToGrid w:val="0"/>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审查内容</w:t>
            </w:r>
          </w:p>
        </w:tc>
        <w:tc>
          <w:tcPr>
            <w:tcW w:w="1276" w:type="dxa"/>
            <w:vAlign w:val="center"/>
          </w:tcPr>
          <w:p w14:paraId="6C3CAABA">
            <w:pPr>
              <w:snapToGrid w:val="0"/>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页码</w:t>
            </w:r>
          </w:p>
        </w:tc>
      </w:tr>
      <w:tr w14:paraId="5808C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2491A2A4">
            <w:pPr>
              <w:snapToGrid w:val="0"/>
              <w:spacing w:line="360" w:lineRule="exact"/>
              <w:jc w:val="center"/>
              <w:rPr>
                <w:rFonts w:ascii="宋体" w:hAnsi="宋体" w:eastAsia="宋体" w:cs="宋体"/>
                <w:color w:val="auto"/>
                <w:sz w:val="24"/>
                <w:highlight w:val="none"/>
              </w:rPr>
            </w:pPr>
          </w:p>
        </w:tc>
        <w:tc>
          <w:tcPr>
            <w:tcW w:w="5470" w:type="dxa"/>
            <w:vAlign w:val="center"/>
          </w:tcPr>
          <w:p w14:paraId="021943D3">
            <w:pPr>
              <w:snapToGrid w:val="0"/>
              <w:spacing w:line="360" w:lineRule="exact"/>
              <w:jc w:val="center"/>
              <w:rPr>
                <w:rFonts w:ascii="宋体" w:hAnsi="宋体" w:eastAsia="宋体" w:cs="宋体"/>
                <w:color w:val="auto"/>
                <w:sz w:val="24"/>
                <w:highlight w:val="none"/>
              </w:rPr>
            </w:pPr>
          </w:p>
        </w:tc>
        <w:tc>
          <w:tcPr>
            <w:tcW w:w="1276" w:type="dxa"/>
            <w:vAlign w:val="center"/>
          </w:tcPr>
          <w:p w14:paraId="1E4BABC1">
            <w:pPr>
              <w:snapToGrid w:val="0"/>
              <w:spacing w:line="360" w:lineRule="exact"/>
              <w:jc w:val="center"/>
              <w:rPr>
                <w:rFonts w:ascii="宋体" w:hAnsi="宋体" w:eastAsia="宋体" w:cs="宋体"/>
                <w:color w:val="auto"/>
                <w:sz w:val="24"/>
                <w:highlight w:val="none"/>
              </w:rPr>
            </w:pPr>
          </w:p>
        </w:tc>
      </w:tr>
      <w:tr w14:paraId="298918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635945F5">
            <w:pPr>
              <w:snapToGrid w:val="0"/>
              <w:spacing w:line="360" w:lineRule="exact"/>
              <w:jc w:val="center"/>
              <w:rPr>
                <w:rFonts w:ascii="宋体" w:hAnsi="宋体" w:eastAsia="宋体" w:cs="宋体"/>
                <w:color w:val="auto"/>
                <w:sz w:val="24"/>
                <w:highlight w:val="none"/>
              </w:rPr>
            </w:pPr>
          </w:p>
        </w:tc>
        <w:tc>
          <w:tcPr>
            <w:tcW w:w="5470" w:type="dxa"/>
          </w:tcPr>
          <w:p w14:paraId="72DDC0A3">
            <w:pPr>
              <w:snapToGrid w:val="0"/>
              <w:spacing w:line="360" w:lineRule="exact"/>
              <w:jc w:val="center"/>
              <w:rPr>
                <w:rFonts w:ascii="宋体" w:hAnsi="宋体" w:eastAsia="宋体" w:cs="宋体"/>
                <w:color w:val="auto"/>
                <w:sz w:val="24"/>
                <w:highlight w:val="none"/>
              </w:rPr>
            </w:pPr>
          </w:p>
        </w:tc>
        <w:tc>
          <w:tcPr>
            <w:tcW w:w="1276" w:type="dxa"/>
            <w:vAlign w:val="center"/>
          </w:tcPr>
          <w:p w14:paraId="403417FD">
            <w:pPr>
              <w:snapToGrid w:val="0"/>
              <w:spacing w:line="360" w:lineRule="exact"/>
              <w:jc w:val="center"/>
              <w:rPr>
                <w:rFonts w:ascii="宋体" w:hAnsi="宋体" w:eastAsia="宋体" w:cs="宋体"/>
                <w:b/>
                <w:color w:val="auto"/>
                <w:sz w:val="24"/>
                <w:highlight w:val="none"/>
              </w:rPr>
            </w:pPr>
          </w:p>
        </w:tc>
      </w:tr>
      <w:tr w14:paraId="4D20AD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0B81C808">
            <w:pPr>
              <w:snapToGrid w:val="0"/>
              <w:spacing w:line="360" w:lineRule="exact"/>
              <w:jc w:val="center"/>
              <w:rPr>
                <w:rFonts w:ascii="宋体" w:hAnsi="宋体" w:eastAsia="宋体" w:cs="宋体"/>
                <w:color w:val="auto"/>
                <w:sz w:val="24"/>
                <w:highlight w:val="none"/>
              </w:rPr>
            </w:pPr>
          </w:p>
        </w:tc>
        <w:tc>
          <w:tcPr>
            <w:tcW w:w="5470" w:type="dxa"/>
          </w:tcPr>
          <w:p w14:paraId="0CE38698">
            <w:pPr>
              <w:snapToGrid w:val="0"/>
              <w:spacing w:line="360" w:lineRule="exact"/>
              <w:jc w:val="center"/>
              <w:rPr>
                <w:rFonts w:ascii="宋体" w:hAnsi="宋体" w:eastAsia="宋体" w:cs="宋体"/>
                <w:color w:val="auto"/>
                <w:sz w:val="24"/>
                <w:highlight w:val="none"/>
              </w:rPr>
            </w:pPr>
          </w:p>
        </w:tc>
        <w:tc>
          <w:tcPr>
            <w:tcW w:w="1276" w:type="dxa"/>
            <w:vAlign w:val="center"/>
          </w:tcPr>
          <w:p w14:paraId="0FAF24BA">
            <w:pPr>
              <w:snapToGrid w:val="0"/>
              <w:spacing w:line="360" w:lineRule="exact"/>
              <w:jc w:val="center"/>
              <w:rPr>
                <w:rFonts w:ascii="宋体" w:hAnsi="宋体" w:eastAsia="宋体" w:cs="宋体"/>
                <w:b/>
                <w:color w:val="auto"/>
                <w:sz w:val="24"/>
                <w:highlight w:val="none"/>
              </w:rPr>
            </w:pPr>
          </w:p>
        </w:tc>
      </w:tr>
      <w:tr w14:paraId="623A5F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79A0FE6C">
            <w:pPr>
              <w:snapToGrid w:val="0"/>
              <w:spacing w:line="360" w:lineRule="exact"/>
              <w:jc w:val="center"/>
              <w:rPr>
                <w:rFonts w:ascii="宋体" w:hAnsi="宋体" w:eastAsia="宋体" w:cs="宋体"/>
                <w:color w:val="auto"/>
                <w:sz w:val="24"/>
                <w:highlight w:val="none"/>
              </w:rPr>
            </w:pPr>
          </w:p>
        </w:tc>
        <w:tc>
          <w:tcPr>
            <w:tcW w:w="5470" w:type="dxa"/>
          </w:tcPr>
          <w:p w14:paraId="304D7C55">
            <w:pPr>
              <w:snapToGrid w:val="0"/>
              <w:spacing w:line="360" w:lineRule="exact"/>
              <w:jc w:val="center"/>
              <w:rPr>
                <w:rFonts w:ascii="宋体" w:hAnsi="宋体" w:eastAsia="宋体" w:cs="宋体"/>
                <w:color w:val="auto"/>
                <w:sz w:val="24"/>
                <w:highlight w:val="none"/>
              </w:rPr>
            </w:pPr>
          </w:p>
        </w:tc>
        <w:tc>
          <w:tcPr>
            <w:tcW w:w="1276" w:type="dxa"/>
            <w:vAlign w:val="center"/>
          </w:tcPr>
          <w:p w14:paraId="27A78F8A">
            <w:pPr>
              <w:snapToGrid w:val="0"/>
              <w:spacing w:line="360" w:lineRule="exact"/>
              <w:jc w:val="center"/>
              <w:rPr>
                <w:rFonts w:ascii="宋体" w:hAnsi="宋体" w:eastAsia="宋体" w:cs="宋体"/>
                <w:b/>
                <w:color w:val="auto"/>
                <w:sz w:val="24"/>
                <w:highlight w:val="none"/>
              </w:rPr>
            </w:pPr>
          </w:p>
        </w:tc>
      </w:tr>
      <w:tr w14:paraId="19D9D1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74734354">
            <w:pPr>
              <w:snapToGrid w:val="0"/>
              <w:spacing w:line="360" w:lineRule="exact"/>
              <w:jc w:val="center"/>
              <w:rPr>
                <w:rFonts w:ascii="宋体" w:hAnsi="宋体" w:eastAsia="宋体" w:cs="宋体"/>
                <w:color w:val="auto"/>
                <w:sz w:val="24"/>
                <w:highlight w:val="none"/>
              </w:rPr>
            </w:pPr>
          </w:p>
        </w:tc>
        <w:tc>
          <w:tcPr>
            <w:tcW w:w="5470" w:type="dxa"/>
          </w:tcPr>
          <w:p w14:paraId="04EAF54A">
            <w:pPr>
              <w:snapToGrid w:val="0"/>
              <w:spacing w:line="360" w:lineRule="exact"/>
              <w:jc w:val="center"/>
              <w:rPr>
                <w:rFonts w:ascii="宋体" w:hAnsi="宋体" w:eastAsia="宋体" w:cs="宋体"/>
                <w:color w:val="auto"/>
                <w:sz w:val="24"/>
                <w:highlight w:val="none"/>
              </w:rPr>
            </w:pPr>
          </w:p>
        </w:tc>
        <w:tc>
          <w:tcPr>
            <w:tcW w:w="1276" w:type="dxa"/>
            <w:vAlign w:val="center"/>
          </w:tcPr>
          <w:p w14:paraId="44D0D074">
            <w:pPr>
              <w:snapToGrid w:val="0"/>
              <w:spacing w:line="360" w:lineRule="exact"/>
              <w:jc w:val="center"/>
              <w:rPr>
                <w:rFonts w:ascii="宋体" w:hAnsi="宋体" w:eastAsia="宋体" w:cs="宋体"/>
                <w:b/>
                <w:color w:val="auto"/>
                <w:sz w:val="24"/>
                <w:highlight w:val="none"/>
              </w:rPr>
            </w:pPr>
          </w:p>
        </w:tc>
      </w:tr>
    </w:tbl>
    <w:p w14:paraId="543F44AC">
      <w:pPr>
        <w:spacing w:line="42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注：投标人根据招标公告“</w:t>
      </w:r>
      <w:r>
        <w:rPr>
          <w:rFonts w:hint="eastAsia" w:ascii="宋体" w:hAnsi="宋体" w:eastAsia="宋体" w:cs="宋体"/>
          <w:color w:val="auto"/>
          <w:sz w:val="24"/>
          <w:highlight w:val="none"/>
          <w:lang w:val="zh-CN"/>
        </w:rPr>
        <w:t>投标人资格条件</w:t>
      </w:r>
      <w:r>
        <w:rPr>
          <w:rFonts w:hint="eastAsia" w:ascii="宋体" w:hAnsi="宋体" w:eastAsia="宋体" w:cs="宋体"/>
          <w:color w:val="auto"/>
          <w:sz w:val="24"/>
          <w:highlight w:val="none"/>
        </w:rPr>
        <w:t>”条款一一对应填写本表。</w:t>
      </w:r>
    </w:p>
    <w:p w14:paraId="1A3A6230">
      <w:pPr>
        <w:spacing w:line="420" w:lineRule="exact"/>
        <w:jc w:val="center"/>
        <w:rPr>
          <w:rFonts w:ascii="宋体" w:hAnsi="宋体" w:eastAsia="宋体" w:cs="宋体"/>
          <w:color w:val="auto"/>
          <w:sz w:val="24"/>
          <w:highlight w:val="none"/>
        </w:rPr>
      </w:pPr>
    </w:p>
    <w:p w14:paraId="4CD58DE6">
      <w:pPr>
        <w:spacing w:line="360" w:lineRule="auto"/>
        <w:jc w:val="center"/>
        <w:outlineLvl w:val="1"/>
        <w:rPr>
          <w:rFonts w:ascii="宋体" w:hAnsi="宋体" w:eastAsia="宋体" w:cs="宋体"/>
          <w:b/>
          <w:bCs/>
          <w:color w:val="auto"/>
          <w:sz w:val="24"/>
          <w:highlight w:val="none"/>
        </w:rPr>
      </w:pPr>
      <w:bookmarkStart w:id="93" w:name="_Toc28418"/>
      <w:bookmarkStart w:id="94" w:name="_Toc83886041"/>
      <w:r>
        <w:rPr>
          <w:rFonts w:hint="eastAsia" w:ascii="宋体" w:hAnsi="宋体" w:eastAsia="宋体" w:cs="宋体"/>
          <w:b/>
          <w:bCs/>
          <w:color w:val="auto"/>
          <w:sz w:val="24"/>
          <w:highlight w:val="none"/>
        </w:rPr>
        <w:t>符合性审查索引</w:t>
      </w:r>
      <w:bookmarkEnd w:id="93"/>
      <w:bookmarkEnd w:id="94"/>
    </w:p>
    <w:tbl>
      <w:tblPr>
        <w:tblStyle w:val="25"/>
        <w:tblW w:w="76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5470"/>
        <w:gridCol w:w="1276"/>
      </w:tblGrid>
      <w:tr w14:paraId="30995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10" w:hRule="atLeast"/>
          <w:jc w:val="center"/>
        </w:trPr>
        <w:tc>
          <w:tcPr>
            <w:tcW w:w="932" w:type="dxa"/>
            <w:vAlign w:val="center"/>
          </w:tcPr>
          <w:p w14:paraId="37B18ED1">
            <w:pPr>
              <w:snapToGrid w:val="0"/>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470" w:type="dxa"/>
            <w:vAlign w:val="center"/>
          </w:tcPr>
          <w:p w14:paraId="31C0AEBC">
            <w:pPr>
              <w:snapToGrid w:val="0"/>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审查内容</w:t>
            </w:r>
          </w:p>
        </w:tc>
        <w:tc>
          <w:tcPr>
            <w:tcW w:w="1276" w:type="dxa"/>
            <w:vAlign w:val="center"/>
          </w:tcPr>
          <w:p w14:paraId="47FC2EB9">
            <w:pPr>
              <w:snapToGrid w:val="0"/>
              <w:spacing w:line="36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页码</w:t>
            </w:r>
          </w:p>
        </w:tc>
      </w:tr>
      <w:tr w14:paraId="61528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052690EE">
            <w:pPr>
              <w:snapToGrid w:val="0"/>
              <w:spacing w:line="360" w:lineRule="exact"/>
              <w:jc w:val="center"/>
              <w:rPr>
                <w:rFonts w:ascii="宋体" w:hAnsi="宋体" w:eastAsia="宋体" w:cs="宋体"/>
                <w:color w:val="auto"/>
                <w:sz w:val="24"/>
                <w:highlight w:val="none"/>
              </w:rPr>
            </w:pPr>
          </w:p>
        </w:tc>
        <w:tc>
          <w:tcPr>
            <w:tcW w:w="5470" w:type="dxa"/>
            <w:vAlign w:val="center"/>
          </w:tcPr>
          <w:p w14:paraId="3392ABFD">
            <w:pPr>
              <w:snapToGrid w:val="0"/>
              <w:spacing w:line="360" w:lineRule="exact"/>
              <w:jc w:val="center"/>
              <w:rPr>
                <w:rFonts w:ascii="宋体" w:hAnsi="宋体" w:eastAsia="宋体" w:cs="宋体"/>
                <w:color w:val="auto"/>
                <w:sz w:val="24"/>
                <w:highlight w:val="none"/>
              </w:rPr>
            </w:pPr>
          </w:p>
        </w:tc>
        <w:tc>
          <w:tcPr>
            <w:tcW w:w="1276" w:type="dxa"/>
            <w:vAlign w:val="center"/>
          </w:tcPr>
          <w:p w14:paraId="1CDCE539">
            <w:pPr>
              <w:snapToGrid w:val="0"/>
              <w:spacing w:line="360" w:lineRule="exact"/>
              <w:jc w:val="center"/>
              <w:rPr>
                <w:rFonts w:ascii="宋体" w:hAnsi="宋体" w:eastAsia="宋体" w:cs="宋体"/>
                <w:color w:val="auto"/>
                <w:sz w:val="24"/>
                <w:highlight w:val="none"/>
              </w:rPr>
            </w:pPr>
          </w:p>
        </w:tc>
      </w:tr>
      <w:tr w14:paraId="000D80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6FDFC04">
            <w:pPr>
              <w:snapToGrid w:val="0"/>
              <w:spacing w:line="360" w:lineRule="exact"/>
              <w:jc w:val="center"/>
              <w:rPr>
                <w:rFonts w:ascii="宋体" w:hAnsi="宋体" w:eastAsia="宋体" w:cs="宋体"/>
                <w:color w:val="auto"/>
                <w:sz w:val="24"/>
                <w:highlight w:val="none"/>
              </w:rPr>
            </w:pPr>
          </w:p>
        </w:tc>
        <w:tc>
          <w:tcPr>
            <w:tcW w:w="5470" w:type="dxa"/>
          </w:tcPr>
          <w:p w14:paraId="48BA000B">
            <w:pPr>
              <w:snapToGrid w:val="0"/>
              <w:spacing w:line="360" w:lineRule="exact"/>
              <w:jc w:val="center"/>
              <w:rPr>
                <w:rFonts w:ascii="宋体" w:hAnsi="宋体" w:eastAsia="宋体" w:cs="宋体"/>
                <w:color w:val="auto"/>
                <w:sz w:val="24"/>
                <w:highlight w:val="none"/>
              </w:rPr>
            </w:pPr>
          </w:p>
        </w:tc>
        <w:tc>
          <w:tcPr>
            <w:tcW w:w="1276" w:type="dxa"/>
            <w:vAlign w:val="center"/>
          </w:tcPr>
          <w:p w14:paraId="22A070A0">
            <w:pPr>
              <w:snapToGrid w:val="0"/>
              <w:spacing w:line="360" w:lineRule="exact"/>
              <w:jc w:val="center"/>
              <w:rPr>
                <w:rFonts w:ascii="宋体" w:hAnsi="宋体" w:eastAsia="宋体" w:cs="宋体"/>
                <w:b/>
                <w:color w:val="auto"/>
                <w:sz w:val="24"/>
                <w:highlight w:val="none"/>
              </w:rPr>
            </w:pPr>
          </w:p>
        </w:tc>
      </w:tr>
      <w:tr w14:paraId="1C3B90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210DF218">
            <w:pPr>
              <w:snapToGrid w:val="0"/>
              <w:spacing w:line="360" w:lineRule="exact"/>
              <w:jc w:val="center"/>
              <w:rPr>
                <w:rFonts w:ascii="宋体" w:hAnsi="宋体" w:eastAsia="宋体" w:cs="宋体"/>
                <w:color w:val="auto"/>
                <w:sz w:val="24"/>
                <w:highlight w:val="none"/>
              </w:rPr>
            </w:pPr>
          </w:p>
        </w:tc>
        <w:tc>
          <w:tcPr>
            <w:tcW w:w="5470" w:type="dxa"/>
          </w:tcPr>
          <w:p w14:paraId="2F0D519F">
            <w:pPr>
              <w:snapToGrid w:val="0"/>
              <w:spacing w:line="360" w:lineRule="exact"/>
              <w:jc w:val="center"/>
              <w:rPr>
                <w:rFonts w:ascii="宋体" w:hAnsi="宋体" w:eastAsia="宋体" w:cs="宋体"/>
                <w:color w:val="auto"/>
                <w:sz w:val="24"/>
                <w:highlight w:val="none"/>
              </w:rPr>
            </w:pPr>
          </w:p>
        </w:tc>
        <w:tc>
          <w:tcPr>
            <w:tcW w:w="1276" w:type="dxa"/>
            <w:vAlign w:val="center"/>
          </w:tcPr>
          <w:p w14:paraId="2D010C24">
            <w:pPr>
              <w:snapToGrid w:val="0"/>
              <w:spacing w:line="360" w:lineRule="exact"/>
              <w:jc w:val="center"/>
              <w:rPr>
                <w:rFonts w:ascii="宋体" w:hAnsi="宋体" w:eastAsia="宋体" w:cs="宋体"/>
                <w:b/>
                <w:color w:val="auto"/>
                <w:sz w:val="24"/>
                <w:highlight w:val="none"/>
              </w:rPr>
            </w:pPr>
          </w:p>
        </w:tc>
      </w:tr>
      <w:tr w14:paraId="707E3C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4264CE4">
            <w:pPr>
              <w:snapToGrid w:val="0"/>
              <w:spacing w:line="360" w:lineRule="exact"/>
              <w:jc w:val="center"/>
              <w:rPr>
                <w:rFonts w:ascii="宋体" w:hAnsi="宋体" w:eastAsia="宋体" w:cs="宋体"/>
                <w:color w:val="auto"/>
                <w:sz w:val="24"/>
                <w:highlight w:val="none"/>
              </w:rPr>
            </w:pPr>
          </w:p>
        </w:tc>
        <w:tc>
          <w:tcPr>
            <w:tcW w:w="5470" w:type="dxa"/>
          </w:tcPr>
          <w:p w14:paraId="3C609979">
            <w:pPr>
              <w:snapToGrid w:val="0"/>
              <w:spacing w:line="360" w:lineRule="exact"/>
              <w:jc w:val="center"/>
              <w:rPr>
                <w:rFonts w:ascii="宋体" w:hAnsi="宋体" w:eastAsia="宋体" w:cs="宋体"/>
                <w:color w:val="auto"/>
                <w:sz w:val="24"/>
                <w:highlight w:val="none"/>
              </w:rPr>
            </w:pPr>
          </w:p>
        </w:tc>
        <w:tc>
          <w:tcPr>
            <w:tcW w:w="1276" w:type="dxa"/>
            <w:vAlign w:val="center"/>
          </w:tcPr>
          <w:p w14:paraId="60EC9E35">
            <w:pPr>
              <w:snapToGrid w:val="0"/>
              <w:spacing w:line="360" w:lineRule="exact"/>
              <w:jc w:val="center"/>
              <w:rPr>
                <w:rFonts w:ascii="宋体" w:hAnsi="宋体" w:eastAsia="宋体" w:cs="宋体"/>
                <w:b/>
                <w:color w:val="auto"/>
                <w:sz w:val="24"/>
                <w:highlight w:val="none"/>
              </w:rPr>
            </w:pPr>
          </w:p>
        </w:tc>
      </w:tr>
      <w:tr w14:paraId="28DC9A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2" w:type="dxa"/>
            <w:vAlign w:val="center"/>
          </w:tcPr>
          <w:p w14:paraId="35E8E37A">
            <w:pPr>
              <w:snapToGrid w:val="0"/>
              <w:spacing w:line="360" w:lineRule="exact"/>
              <w:jc w:val="center"/>
              <w:rPr>
                <w:rFonts w:ascii="宋体" w:hAnsi="宋体" w:eastAsia="宋体" w:cs="宋体"/>
                <w:color w:val="auto"/>
                <w:sz w:val="24"/>
                <w:highlight w:val="none"/>
              </w:rPr>
            </w:pPr>
          </w:p>
        </w:tc>
        <w:tc>
          <w:tcPr>
            <w:tcW w:w="5470" w:type="dxa"/>
          </w:tcPr>
          <w:p w14:paraId="426B83E1">
            <w:pPr>
              <w:snapToGrid w:val="0"/>
              <w:spacing w:line="360" w:lineRule="exact"/>
              <w:jc w:val="center"/>
              <w:rPr>
                <w:rFonts w:ascii="宋体" w:hAnsi="宋体" w:eastAsia="宋体" w:cs="宋体"/>
                <w:color w:val="auto"/>
                <w:sz w:val="24"/>
                <w:highlight w:val="none"/>
              </w:rPr>
            </w:pPr>
          </w:p>
        </w:tc>
        <w:tc>
          <w:tcPr>
            <w:tcW w:w="1276" w:type="dxa"/>
            <w:vAlign w:val="center"/>
          </w:tcPr>
          <w:p w14:paraId="31AF304C">
            <w:pPr>
              <w:snapToGrid w:val="0"/>
              <w:spacing w:line="360" w:lineRule="exact"/>
              <w:jc w:val="center"/>
              <w:rPr>
                <w:rFonts w:ascii="宋体" w:hAnsi="宋体" w:eastAsia="宋体" w:cs="宋体"/>
                <w:b/>
                <w:color w:val="auto"/>
                <w:sz w:val="24"/>
                <w:highlight w:val="none"/>
              </w:rPr>
            </w:pPr>
          </w:p>
        </w:tc>
      </w:tr>
    </w:tbl>
    <w:p w14:paraId="321147D1">
      <w:pPr>
        <w:spacing w:line="42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注：投标人根据评标方法和评价标准的“初步评审”中“符合性审查”条款一一对应填写本表。</w:t>
      </w:r>
    </w:p>
    <w:p w14:paraId="5BFCEB60">
      <w:pPr>
        <w:spacing w:line="360" w:lineRule="auto"/>
        <w:jc w:val="center"/>
        <w:outlineLvl w:val="1"/>
        <w:rPr>
          <w:rFonts w:ascii="宋体" w:hAnsi="宋体" w:eastAsia="宋体" w:cs="宋体"/>
          <w:b/>
          <w:bCs/>
          <w:color w:val="auto"/>
          <w:sz w:val="24"/>
          <w:highlight w:val="none"/>
        </w:rPr>
      </w:pPr>
      <w:bookmarkStart w:id="95" w:name="_Toc20861"/>
      <w:bookmarkStart w:id="96" w:name="_Toc83886042"/>
      <w:r>
        <w:rPr>
          <w:rFonts w:hint="eastAsia" w:ascii="宋体" w:hAnsi="宋体" w:eastAsia="宋体" w:cs="宋体"/>
          <w:b/>
          <w:bCs/>
          <w:color w:val="auto"/>
          <w:sz w:val="24"/>
          <w:highlight w:val="none"/>
        </w:rPr>
        <w:t>详细评审索引</w:t>
      </w:r>
      <w:bookmarkEnd w:id="95"/>
      <w:bookmarkEnd w:id="96"/>
    </w:p>
    <w:tbl>
      <w:tblPr>
        <w:tblStyle w:val="25"/>
        <w:tblW w:w="750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356"/>
        <w:gridCol w:w="1276"/>
      </w:tblGrid>
      <w:tr w14:paraId="2C22C0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10DEA289">
            <w:pPr>
              <w:adjustRightInd w:val="0"/>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5356" w:type="dxa"/>
            <w:vAlign w:val="center"/>
          </w:tcPr>
          <w:p w14:paraId="480E2162">
            <w:pPr>
              <w:adjustRightInd w:val="0"/>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评分/评审细则</w:t>
            </w:r>
          </w:p>
        </w:tc>
        <w:tc>
          <w:tcPr>
            <w:tcW w:w="1276" w:type="dxa"/>
            <w:vAlign w:val="center"/>
          </w:tcPr>
          <w:p w14:paraId="61238E9B">
            <w:pPr>
              <w:adjustRightInd w:val="0"/>
              <w:snapToGrid w:val="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页码</w:t>
            </w:r>
          </w:p>
        </w:tc>
      </w:tr>
      <w:tr w14:paraId="4752E4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C449EAE">
            <w:pPr>
              <w:adjustRightInd w:val="0"/>
              <w:snapToGrid w:val="0"/>
              <w:jc w:val="center"/>
              <w:rPr>
                <w:rFonts w:ascii="宋体" w:hAnsi="宋体" w:eastAsia="宋体" w:cs="宋体"/>
                <w:color w:val="auto"/>
                <w:sz w:val="24"/>
                <w:highlight w:val="none"/>
              </w:rPr>
            </w:pPr>
          </w:p>
        </w:tc>
        <w:tc>
          <w:tcPr>
            <w:tcW w:w="5356" w:type="dxa"/>
            <w:vAlign w:val="center"/>
          </w:tcPr>
          <w:p w14:paraId="7F8849E8">
            <w:pPr>
              <w:adjustRightInd w:val="0"/>
              <w:snapToGrid w:val="0"/>
              <w:rPr>
                <w:rFonts w:ascii="宋体" w:hAnsi="宋体" w:eastAsia="宋体" w:cs="宋体"/>
                <w:color w:val="auto"/>
                <w:sz w:val="24"/>
                <w:highlight w:val="none"/>
              </w:rPr>
            </w:pPr>
          </w:p>
        </w:tc>
        <w:tc>
          <w:tcPr>
            <w:tcW w:w="1276" w:type="dxa"/>
            <w:vAlign w:val="center"/>
          </w:tcPr>
          <w:p w14:paraId="2A883B2D">
            <w:pPr>
              <w:adjustRightInd w:val="0"/>
              <w:snapToGrid w:val="0"/>
              <w:jc w:val="center"/>
              <w:rPr>
                <w:rFonts w:ascii="宋体" w:hAnsi="宋体" w:eastAsia="宋体" w:cs="宋体"/>
                <w:b/>
                <w:color w:val="auto"/>
                <w:sz w:val="24"/>
                <w:highlight w:val="none"/>
              </w:rPr>
            </w:pPr>
          </w:p>
        </w:tc>
      </w:tr>
      <w:tr w14:paraId="3D7B21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 w:type="dxa"/>
            <w:vAlign w:val="center"/>
          </w:tcPr>
          <w:p w14:paraId="5211CA1E">
            <w:pPr>
              <w:adjustRightInd w:val="0"/>
              <w:snapToGrid w:val="0"/>
              <w:jc w:val="center"/>
              <w:rPr>
                <w:rFonts w:ascii="宋体" w:hAnsi="宋体" w:eastAsia="宋体" w:cs="宋体"/>
                <w:color w:val="auto"/>
                <w:sz w:val="24"/>
                <w:highlight w:val="none"/>
              </w:rPr>
            </w:pPr>
          </w:p>
        </w:tc>
        <w:tc>
          <w:tcPr>
            <w:tcW w:w="5356" w:type="dxa"/>
            <w:vAlign w:val="center"/>
          </w:tcPr>
          <w:p w14:paraId="0F83B44C">
            <w:pPr>
              <w:adjustRightInd w:val="0"/>
              <w:snapToGrid w:val="0"/>
              <w:rPr>
                <w:rFonts w:ascii="宋体" w:hAnsi="宋体" w:eastAsia="宋体" w:cs="宋体"/>
                <w:color w:val="auto"/>
                <w:sz w:val="24"/>
                <w:highlight w:val="none"/>
              </w:rPr>
            </w:pPr>
          </w:p>
        </w:tc>
        <w:tc>
          <w:tcPr>
            <w:tcW w:w="1276" w:type="dxa"/>
            <w:vAlign w:val="center"/>
          </w:tcPr>
          <w:p w14:paraId="4AA88174">
            <w:pPr>
              <w:adjustRightInd w:val="0"/>
              <w:snapToGrid w:val="0"/>
              <w:jc w:val="center"/>
              <w:rPr>
                <w:rFonts w:ascii="宋体" w:hAnsi="宋体" w:eastAsia="宋体" w:cs="宋体"/>
                <w:b/>
                <w:color w:val="auto"/>
                <w:sz w:val="24"/>
                <w:highlight w:val="none"/>
              </w:rPr>
            </w:pPr>
          </w:p>
        </w:tc>
      </w:tr>
      <w:tr w14:paraId="7EA24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37C797DB">
            <w:pPr>
              <w:adjustRightInd w:val="0"/>
              <w:snapToGrid w:val="0"/>
              <w:jc w:val="center"/>
              <w:rPr>
                <w:rFonts w:ascii="宋体" w:hAnsi="宋体" w:eastAsia="宋体" w:cs="宋体"/>
                <w:color w:val="auto"/>
                <w:sz w:val="24"/>
                <w:highlight w:val="none"/>
              </w:rPr>
            </w:pPr>
          </w:p>
        </w:tc>
        <w:tc>
          <w:tcPr>
            <w:tcW w:w="5356" w:type="dxa"/>
            <w:vAlign w:val="center"/>
          </w:tcPr>
          <w:p w14:paraId="7F197443">
            <w:pPr>
              <w:adjustRightInd w:val="0"/>
              <w:snapToGrid w:val="0"/>
              <w:rPr>
                <w:rFonts w:ascii="宋体" w:hAnsi="宋体" w:eastAsia="宋体" w:cs="宋体"/>
                <w:color w:val="auto"/>
                <w:sz w:val="24"/>
                <w:highlight w:val="none"/>
              </w:rPr>
            </w:pPr>
          </w:p>
        </w:tc>
        <w:tc>
          <w:tcPr>
            <w:tcW w:w="1276" w:type="dxa"/>
            <w:vAlign w:val="center"/>
          </w:tcPr>
          <w:p w14:paraId="0E8E2807">
            <w:pPr>
              <w:adjustRightInd w:val="0"/>
              <w:snapToGrid w:val="0"/>
              <w:jc w:val="center"/>
              <w:rPr>
                <w:rFonts w:ascii="宋体" w:hAnsi="宋体" w:eastAsia="宋体" w:cs="宋体"/>
                <w:b/>
                <w:color w:val="auto"/>
                <w:sz w:val="24"/>
                <w:highlight w:val="none"/>
              </w:rPr>
            </w:pPr>
          </w:p>
        </w:tc>
      </w:tr>
      <w:tr w14:paraId="70713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329ABA86">
            <w:pPr>
              <w:adjustRightInd w:val="0"/>
              <w:snapToGrid w:val="0"/>
              <w:jc w:val="center"/>
              <w:rPr>
                <w:rFonts w:ascii="宋体" w:hAnsi="宋体" w:eastAsia="宋体" w:cs="宋体"/>
                <w:color w:val="auto"/>
                <w:sz w:val="24"/>
                <w:highlight w:val="none"/>
              </w:rPr>
            </w:pPr>
          </w:p>
        </w:tc>
        <w:tc>
          <w:tcPr>
            <w:tcW w:w="5356" w:type="dxa"/>
            <w:vAlign w:val="center"/>
          </w:tcPr>
          <w:p w14:paraId="74F27AD2">
            <w:pPr>
              <w:adjustRightInd w:val="0"/>
              <w:snapToGrid w:val="0"/>
              <w:rPr>
                <w:rFonts w:ascii="宋体" w:hAnsi="宋体" w:eastAsia="宋体" w:cs="宋体"/>
                <w:color w:val="auto"/>
                <w:sz w:val="24"/>
                <w:highlight w:val="none"/>
              </w:rPr>
            </w:pPr>
          </w:p>
        </w:tc>
        <w:tc>
          <w:tcPr>
            <w:tcW w:w="1276" w:type="dxa"/>
            <w:vAlign w:val="center"/>
          </w:tcPr>
          <w:p w14:paraId="155EC9D2">
            <w:pPr>
              <w:adjustRightInd w:val="0"/>
              <w:snapToGrid w:val="0"/>
              <w:jc w:val="center"/>
              <w:rPr>
                <w:rFonts w:ascii="宋体" w:hAnsi="宋体" w:eastAsia="宋体" w:cs="宋体"/>
                <w:b/>
                <w:color w:val="auto"/>
                <w:sz w:val="24"/>
                <w:highlight w:val="none"/>
              </w:rPr>
            </w:pPr>
          </w:p>
        </w:tc>
      </w:tr>
      <w:tr w14:paraId="40AC1C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4" w:type="dxa"/>
            <w:vAlign w:val="center"/>
          </w:tcPr>
          <w:p w14:paraId="424E9687">
            <w:pPr>
              <w:adjustRightInd w:val="0"/>
              <w:snapToGrid w:val="0"/>
              <w:jc w:val="center"/>
              <w:rPr>
                <w:rFonts w:ascii="宋体" w:hAnsi="宋体" w:eastAsia="宋体" w:cs="宋体"/>
                <w:color w:val="auto"/>
                <w:sz w:val="24"/>
                <w:highlight w:val="none"/>
              </w:rPr>
            </w:pPr>
          </w:p>
        </w:tc>
        <w:tc>
          <w:tcPr>
            <w:tcW w:w="5356" w:type="dxa"/>
            <w:vAlign w:val="center"/>
          </w:tcPr>
          <w:p w14:paraId="5BF1A22A">
            <w:pPr>
              <w:adjustRightInd w:val="0"/>
              <w:snapToGrid w:val="0"/>
              <w:ind w:left="-3" w:leftChars="-1" w:firstLine="2"/>
              <w:rPr>
                <w:rFonts w:ascii="宋体" w:hAnsi="宋体" w:eastAsia="宋体" w:cs="宋体"/>
                <w:b/>
                <w:color w:val="auto"/>
                <w:sz w:val="24"/>
                <w:highlight w:val="none"/>
              </w:rPr>
            </w:pPr>
          </w:p>
        </w:tc>
        <w:tc>
          <w:tcPr>
            <w:tcW w:w="1276" w:type="dxa"/>
            <w:vAlign w:val="center"/>
          </w:tcPr>
          <w:p w14:paraId="5FE71F64">
            <w:pPr>
              <w:adjustRightInd w:val="0"/>
              <w:snapToGrid w:val="0"/>
              <w:jc w:val="center"/>
              <w:rPr>
                <w:rFonts w:ascii="宋体" w:hAnsi="宋体" w:eastAsia="宋体" w:cs="宋体"/>
                <w:b/>
                <w:color w:val="auto"/>
                <w:sz w:val="24"/>
                <w:highlight w:val="none"/>
              </w:rPr>
            </w:pPr>
          </w:p>
        </w:tc>
      </w:tr>
    </w:tbl>
    <w:p w14:paraId="25BB9361">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注：投标人根据评标方法及评价标准的“详细评审”条款一一对应填写本表。</w:t>
      </w:r>
    </w:p>
    <w:p w14:paraId="2811C67C">
      <w:pPr>
        <w:pStyle w:val="8"/>
        <w:rPr>
          <w:rFonts w:ascii="宋体" w:hAnsi="宋体" w:cs="宋体"/>
          <w:color w:val="auto"/>
          <w:sz w:val="24"/>
          <w:szCs w:val="24"/>
          <w:highlight w:val="none"/>
        </w:rPr>
      </w:pPr>
    </w:p>
    <w:p w14:paraId="4CF83925">
      <w:pPr>
        <w:pStyle w:val="8"/>
        <w:rPr>
          <w:rFonts w:ascii="宋体" w:hAnsi="宋体" w:cs="宋体"/>
          <w:color w:val="auto"/>
          <w:sz w:val="24"/>
          <w:szCs w:val="24"/>
          <w:highlight w:val="none"/>
        </w:rPr>
      </w:pPr>
    </w:p>
    <w:p w14:paraId="69B51FD3">
      <w:pPr>
        <w:rPr>
          <w:rFonts w:ascii="宋体" w:hAnsi="宋体" w:eastAsia="宋体" w:cs="宋体"/>
          <w:b/>
          <w:color w:val="auto"/>
          <w:sz w:val="24"/>
          <w:highlight w:val="none"/>
        </w:rPr>
      </w:pPr>
      <w:bookmarkStart w:id="97" w:name="_Toc83886043"/>
      <w:r>
        <w:rPr>
          <w:rFonts w:hint="eastAsia" w:ascii="宋体" w:hAnsi="宋体" w:eastAsia="宋体" w:cs="宋体"/>
          <w:b/>
          <w:color w:val="auto"/>
          <w:sz w:val="24"/>
          <w:highlight w:val="none"/>
        </w:rPr>
        <w:br w:type="page"/>
      </w:r>
    </w:p>
    <w:p w14:paraId="6492C442">
      <w:pPr>
        <w:wordWrap w:val="0"/>
        <w:spacing w:line="360" w:lineRule="auto"/>
        <w:jc w:val="center"/>
        <w:rPr>
          <w:rFonts w:ascii="宋体" w:hAnsi="宋体" w:eastAsia="宋体" w:cs="宋体"/>
          <w:b/>
          <w:color w:val="auto"/>
          <w:szCs w:val="32"/>
          <w:highlight w:val="none"/>
        </w:rPr>
      </w:pPr>
      <w:r>
        <w:rPr>
          <w:rFonts w:hint="eastAsia" w:ascii="宋体" w:hAnsi="宋体" w:eastAsia="宋体" w:cs="宋体"/>
          <w:b/>
          <w:color w:val="auto"/>
          <w:szCs w:val="32"/>
          <w:highlight w:val="none"/>
        </w:rPr>
        <w:t>目录</w:t>
      </w:r>
    </w:p>
    <w:p w14:paraId="6D7FF350">
      <w:pPr>
        <w:wordWrap w:val="0"/>
        <w:spacing w:line="360" w:lineRule="auto"/>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资格审查文件部分</w:t>
      </w:r>
    </w:p>
    <w:p w14:paraId="60A62E02">
      <w:pPr>
        <w:wordWrap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1.营业执照（或者事业单位法人证书）副本复印件……………………………………（页码）</w:t>
      </w:r>
    </w:p>
    <w:p w14:paraId="623FFCEF">
      <w:pPr>
        <w:wordWrap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2.投标保证金缴存证明……………………………………………………………………（页码）</w:t>
      </w:r>
    </w:p>
    <w:p w14:paraId="4BD7407A">
      <w:pPr>
        <w:pStyle w:val="5"/>
        <w:jc w:val="both"/>
        <w:rPr>
          <w:rFonts w:cs="宋体"/>
          <w:color w:val="auto"/>
          <w:sz w:val="24"/>
          <w:szCs w:val="24"/>
          <w:highlight w:val="none"/>
        </w:rPr>
      </w:pPr>
      <w:r>
        <w:rPr>
          <w:rFonts w:hint="eastAsia" w:cs="宋体"/>
          <w:b w:val="0"/>
          <w:bCs w:val="0"/>
          <w:color w:val="auto"/>
          <w:kern w:val="2"/>
          <w:sz w:val="24"/>
          <w:szCs w:val="24"/>
          <w:highlight w:val="none"/>
        </w:rPr>
        <w:t>3.信用中国、中国政府采购网、国家企业信用信息公示系统记录查询网页截图……………………………</w:t>
      </w:r>
      <w:r>
        <w:rPr>
          <w:rFonts w:hint="eastAsia" w:cs="宋体"/>
          <w:color w:val="auto"/>
          <w:sz w:val="24"/>
          <w:szCs w:val="24"/>
          <w:highlight w:val="none"/>
        </w:rPr>
        <w:t>………………………………………………………</w:t>
      </w:r>
      <w:r>
        <w:rPr>
          <w:rFonts w:hint="eastAsia" w:cs="宋体"/>
          <w:b w:val="0"/>
          <w:bCs w:val="0"/>
          <w:color w:val="auto"/>
          <w:kern w:val="2"/>
          <w:sz w:val="24"/>
          <w:szCs w:val="24"/>
          <w:highlight w:val="none"/>
        </w:rPr>
        <w:t>………（页码）</w:t>
      </w:r>
    </w:p>
    <w:p w14:paraId="1BD1787E">
      <w:pPr>
        <w:wordWrap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4.投标单位在 2021年11月1日(以合同签订时间为准)至投标截止日以来具有</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个</w:t>
      </w:r>
      <w:r>
        <w:rPr>
          <w:rFonts w:hint="eastAsia" w:ascii="宋体" w:hAnsi="宋体" w:eastAsia="宋体" w:cs="宋体"/>
          <w:snapToGrid w:val="0"/>
          <w:color w:val="auto"/>
          <w:kern w:val="0"/>
          <w:sz w:val="24"/>
          <w:highlight w:val="none"/>
        </w:rPr>
        <w:t>烟气在线监测运维</w:t>
      </w:r>
      <w:r>
        <w:rPr>
          <w:rFonts w:hint="eastAsia" w:ascii="宋体" w:hAnsi="宋体" w:eastAsia="宋体" w:cs="宋体"/>
          <w:color w:val="auto"/>
          <w:sz w:val="24"/>
          <w:highlight w:val="none"/>
        </w:rPr>
        <w:t>项目业绩(证明材料:提供合同复印件并加盖公章)……………………………………（页码）</w:t>
      </w:r>
    </w:p>
    <w:p w14:paraId="4E082A07">
      <w:pPr>
        <w:wordWrap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5.其他资格证明证明材料（复印件加盖公章）…………………………………………（页码）</w:t>
      </w:r>
    </w:p>
    <w:p w14:paraId="2A41277C">
      <w:pPr>
        <w:wordWrap w:val="0"/>
        <w:spacing w:line="360" w:lineRule="auto"/>
        <w:jc w:val="center"/>
        <w:outlineLvl w:val="0"/>
        <w:rPr>
          <w:rFonts w:ascii="宋体" w:hAnsi="宋体" w:eastAsia="宋体" w:cs="宋体"/>
          <w:b/>
          <w:color w:val="auto"/>
          <w:sz w:val="24"/>
          <w:highlight w:val="none"/>
        </w:rPr>
      </w:pPr>
      <w:r>
        <w:rPr>
          <w:rFonts w:hint="eastAsia" w:ascii="宋体" w:hAnsi="宋体" w:eastAsia="宋体" w:cs="宋体"/>
          <w:b/>
          <w:color w:val="auto"/>
          <w:sz w:val="24"/>
          <w:highlight w:val="none"/>
        </w:rPr>
        <w:t>商务文件部分</w:t>
      </w:r>
    </w:p>
    <w:p w14:paraId="20948AD4">
      <w:pPr>
        <w:wordWrap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1.投标函……………………………………………………………………………………（页码）</w:t>
      </w:r>
    </w:p>
    <w:p w14:paraId="7D9EA521">
      <w:pPr>
        <w:wordWrap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2.投标报价明细表…………………………………………………………………………（页码）</w:t>
      </w:r>
    </w:p>
    <w:p w14:paraId="4A31D315">
      <w:pPr>
        <w:wordWrap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3.法定代表人授权书（格式见附件）……………………………………………………（页码）</w:t>
      </w:r>
    </w:p>
    <w:p w14:paraId="747B9C46">
      <w:pPr>
        <w:wordWrap w:val="0"/>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4.商务偏离表（格式见附件）……………………………………………………………（页码）</w:t>
      </w:r>
    </w:p>
    <w:p w14:paraId="45272CDB">
      <w:pPr>
        <w:adjustRightInd w:val="0"/>
        <w:snapToGrid w:val="0"/>
        <w:spacing w:line="360" w:lineRule="auto"/>
        <w:outlineLvl w:val="1"/>
        <w:rPr>
          <w:rFonts w:ascii="宋体" w:hAnsi="宋体" w:eastAsia="宋体" w:cs="宋体"/>
          <w:color w:val="auto"/>
          <w:sz w:val="24"/>
          <w:highlight w:val="none"/>
        </w:rPr>
      </w:pPr>
      <w:r>
        <w:rPr>
          <w:rFonts w:hint="eastAsia" w:ascii="宋体" w:hAnsi="宋体" w:eastAsia="宋体" w:cs="宋体"/>
          <w:color w:val="auto"/>
          <w:sz w:val="24"/>
          <w:highlight w:val="none"/>
        </w:rPr>
        <w:t>5.优惠条件及特殊承诺……………………………………………………………………（页码）</w:t>
      </w:r>
    </w:p>
    <w:p w14:paraId="0AF0981E">
      <w:pPr>
        <w:adjustRightInd w:val="0"/>
        <w:snapToGrid w:val="0"/>
        <w:spacing w:line="360" w:lineRule="auto"/>
        <w:outlineLvl w:val="1"/>
        <w:rPr>
          <w:rFonts w:ascii="宋体" w:hAnsi="宋体" w:eastAsia="宋体" w:cs="宋体"/>
          <w:b/>
          <w:bCs/>
          <w:color w:val="auto"/>
          <w:sz w:val="24"/>
          <w:highlight w:val="none"/>
        </w:rPr>
      </w:pPr>
    </w:p>
    <w:p w14:paraId="4B08601C">
      <w:pPr>
        <w:wordWrap w:val="0"/>
        <w:spacing w:line="360" w:lineRule="auto"/>
        <w:jc w:val="center"/>
        <w:outlineLvl w:val="0"/>
        <w:rPr>
          <w:rFonts w:ascii="宋体" w:hAnsi="宋体" w:eastAsia="宋体" w:cs="宋体"/>
          <w:b/>
          <w:bCs/>
          <w:color w:val="auto"/>
          <w:sz w:val="24"/>
          <w:highlight w:val="none"/>
        </w:rPr>
      </w:pPr>
      <w:r>
        <w:rPr>
          <w:rFonts w:hint="eastAsia" w:ascii="宋体" w:hAnsi="宋体" w:eastAsia="宋体" w:cs="宋体"/>
          <w:b/>
          <w:color w:val="auto"/>
          <w:sz w:val="24"/>
          <w:highlight w:val="none"/>
        </w:rPr>
        <w:t>资信文件部分</w:t>
      </w:r>
    </w:p>
    <w:p w14:paraId="1B5BE844">
      <w:pPr>
        <w:numPr>
          <w:ilvl w:val="0"/>
          <w:numId w:val="6"/>
        </w:numPr>
        <w:wordWrap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投标人基本情况表 ……………………………………………………………………（页码）</w:t>
      </w:r>
    </w:p>
    <w:p w14:paraId="2FEA473B">
      <w:pPr>
        <w:wordWrap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2.投标人业绩情况表………………………………………………………………………（页码）</w:t>
      </w:r>
    </w:p>
    <w:p w14:paraId="49BB63B2">
      <w:pPr>
        <w:wordWrap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3.诚信廉洁承诺函…………………………………………………………………………（页码）</w:t>
      </w:r>
    </w:p>
    <w:p w14:paraId="34EC8585">
      <w:pPr>
        <w:wordWrap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4.投标人认为有必要的其他内容等………………………………………………………（页码）</w:t>
      </w:r>
    </w:p>
    <w:p w14:paraId="70CB21B2">
      <w:pPr>
        <w:numPr>
          <w:ilvl w:val="255"/>
          <w:numId w:val="0"/>
        </w:numPr>
        <w:wordWrap w:val="0"/>
        <w:adjustRightInd w:val="0"/>
        <w:snapToGrid w:val="0"/>
        <w:spacing w:line="40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技术文件部分</w:t>
      </w:r>
    </w:p>
    <w:p w14:paraId="3BD89676">
      <w:pPr>
        <w:numPr>
          <w:ilvl w:val="255"/>
          <w:numId w:val="0"/>
        </w:numPr>
        <w:wordWrap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1.技术与服务解决方案……………………………………………………………………（页码）</w:t>
      </w:r>
    </w:p>
    <w:p w14:paraId="7F10FCD0">
      <w:pPr>
        <w:numPr>
          <w:ilvl w:val="255"/>
          <w:numId w:val="0"/>
        </w:numPr>
        <w:wordWrap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bCs/>
          <w:color w:val="auto"/>
          <w:sz w:val="24"/>
          <w:highlight w:val="none"/>
        </w:rPr>
        <w:t>技术偏离表</w:t>
      </w:r>
      <w:r>
        <w:rPr>
          <w:rFonts w:hint="eastAsia" w:ascii="宋体" w:hAnsi="宋体" w:eastAsia="宋体" w:cs="宋体"/>
          <w:color w:val="auto"/>
          <w:sz w:val="24"/>
          <w:highlight w:val="none"/>
        </w:rPr>
        <w:t>………………………………………………………………………………（页码）</w:t>
      </w:r>
    </w:p>
    <w:p w14:paraId="49BFB07F">
      <w:pPr>
        <w:numPr>
          <w:ilvl w:val="255"/>
          <w:numId w:val="0"/>
        </w:numPr>
        <w:wordWrap w:val="0"/>
        <w:adjustRightInd w:val="0"/>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3.技术优惠条件及特殊承诺………………………………………………………………（页码）</w:t>
      </w:r>
    </w:p>
    <w:p w14:paraId="59E2D891">
      <w:pPr>
        <w:numPr>
          <w:ilvl w:val="255"/>
          <w:numId w:val="0"/>
        </w:numPr>
        <w:wordWrap w:val="0"/>
        <w:adjustRightInd w:val="0"/>
        <w:snapToGrid w:val="0"/>
        <w:spacing w:line="400" w:lineRule="exact"/>
        <w:jc w:val="left"/>
        <w:rPr>
          <w:rFonts w:ascii="宋体" w:hAnsi="宋体" w:eastAsia="宋体" w:cs="宋体"/>
          <w:color w:val="auto"/>
          <w:sz w:val="24"/>
          <w:highlight w:val="none"/>
        </w:rPr>
      </w:pPr>
      <w:r>
        <w:rPr>
          <w:rFonts w:hint="eastAsia" w:ascii="宋体" w:hAnsi="宋体" w:eastAsia="宋体" w:cs="宋体"/>
          <w:color w:val="auto"/>
          <w:sz w:val="24"/>
          <w:highlight w:val="none"/>
        </w:rPr>
        <w:t>4.投标人认为需要提供的其他文件和说明………………………………………………（页码）</w:t>
      </w:r>
    </w:p>
    <w:p w14:paraId="6E9B2A1C">
      <w:pPr>
        <w:adjustRightInd w:val="0"/>
        <w:snapToGrid w:val="0"/>
        <w:spacing w:line="360" w:lineRule="auto"/>
        <w:jc w:val="center"/>
        <w:outlineLvl w:val="1"/>
        <w:rPr>
          <w:rFonts w:ascii="宋体" w:hAnsi="宋体" w:eastAsia="宋体" w:cs="宋体"/>
          <w:b/>
          <w:bCs/>
          <w:color w:val="auto"/>
          <w:sz w:val="28"/>
          <w:szCs w:val="28"/>
          <w:highlight w:val="none"/>
        </w:rPr>
      </w:pPr>
    </w:p>
    <w:p w14:paraId="51AB628A">
      <w:pPr>
        <w:pStyle w:val="24"/>
        <w:ind w:left="0" w:leftChars="0" w:firstLine="0"/>
        <w:rPr>
          <w:rFonts w:hint="default" w:cs="宋体"/>
          <w:b/>
          <w:bCs/>
          <w:color w:val="auto"/>
          <w:sz w:val="28"/>
          <w:szCs w:val="28"/>
          <w:highlight w:val="none"/>
        </w:rPr>
      </w:pPr>
    </w:p>
    <w:p w14:paraId="36F03767">
      <w:pPr>
        <w:rPr>
          <w:rFonts w:ascii="宋体" w:hAnsi="宋体" w:eastAsia="宋体" w:cs="宋体"/>
          <w:color w:val="auto"/>
          <w:highlight w:val="none"/>
        </w:rPr>
      </w:pPr>
    </w:p>
    <w:p w14:paraId="388A3A24">
      <w:pPr>
        <w:rPr>
          <w:rFonts w:ascii="宋体" w:hAnsi="宋体" w:eastAsia="宋体" w:cs="宋体"/>
          <w:color w:val="auto"/>
          <w:highlight w:val="none"/>
        </w:rPr>
      </w:pPr>
    </w:p>
    <w:p w14:paraId="29E55B1C">
      <w:pPr>
        <w:adjustRightInd w:val="0"/>
        <w:snapToGrid w:val="0"/>
        <w:spacing w:line="360" w:lineRule="auto"/>
        <w:jc w:val="center"/>
        <w:outlineLvl w:val="1"/>
        <w:rPr>
          <w:rFonts w:ascii="宋体" w:hAnsi="宋体" w:eastAsia="宋体" w:cs="宋体"/>
          <w:snapToGrid w:val="0"/>
          <w:color w:val="auto"/>
          <w:kern w:val="0"/>
          <w:szCs w:val="21"/>
          <w:highlight w:val="none"/>
        </w:rPr>
      </w:pPr>
      <w:r>
        <w:rPr>
          <w:rFonts w:hint="eastAsia" w:ascii="宋体" w:hAnsi="宋体" w:eastAsia="宋体" w:cs="宋体"/>
          <w:b/>
          <w:bCs/>
          <w:color w:val="auto"/>
          <w:sz w:val="28"/>
          <w:szCs w:val="28"/>
          <w:highlight w:val="none"/>
        </w:rPr>
        <w:t>第一部分、资格文件</w:t>
      </w:r>
      <w:bookmarkEnd w:id="97"/>
    </w:p>
    <w:p w14:paraId="5EE50774">
      <w:pPr>
        <w:pStyle w:val="5"/>
        <w:rPr>
          <w:rFonts w:cs="宋体"/>
          <w:bCs w:val="0"/>
          <w:color w:val="auto"/>
          <w:sz w:val="24"/>
          <w:szCs w:val="24"/>
          <w:highlight w:val="none"/>
        </w:rPr>
      </w:pPr>
      <w:r>
        <w:rPr>
          <w:rFonts w:hint="eastAsia" w:cs="宋体"/>
          <w:bCs w:val="0"/>
          <w:color w:val="auto"/>
          <w:sz w:val="32"/>
          <w:szCs w:val="32"/>
          <w:highlight w:val="none"/>
        </w:rPr>
        <w:t xml:space="preserve">  </w:t>
      </w:r>
      <w:r>
        <w:rPr>
          <w:rFonts w:hint="eastAsia" w:cs="宋体"/>
          <w:bCs w:val="0"/>
          <w:color w:val="auto"/>
          <w:sz w:val="24"/>
          <w:szCs w:val="24"/>
          <w:highlight w:val="none"/>
        </w:rPr>
        <w:t xml:space="preserve"> 一、营业执照、事业单位法人证书、社会团体法人登记证书或其他组织登记证明文件副本（复印件加盖公章）</w:t>
      </w:r>
    </w:p>
    <w:p w14:paraId="135BD585">
      <w:pPr>
        <w:rPr>
          <w:rFonts w:ascii="宋体" w:hAnsi="宋体" w:eastAsia="宋体" w:cs="宋体"/>
          <w:color w:val="auto"/>
          <w:sz w:val="24"/>
          <w:highlight w:val="none"/>
        </w:rPr>
      </w:pPr>
    </w:p>
    <w:p w14:paraId="451B03C4">
      <w:pPr>
        <w:rPr>
          <w:rFonts w:ascii="宋体" w:hAnsi="宋体" w:eastAsia="宋体" w:cs="宋体"/>
          <w:color w:val="auto"/>
          <w:sz w:val="24"/>
          <w:highlight w:val="none"/>
        </w:rPr>
      </w:pPr>
    </w:p>
    <w:p w14:paraId="386C55BD">
      <w:pPr>
        <w:pStyle w:val="5"/>
        <w:numPr>
          <w:ilvl w:val="255"/>
          <w:numId w:val="0"/>
        </w:numPr>
        <w:ind w:firstLine="482" w:firstLineChars="200"/>
        <w:rPr>
          <w:rFonts w:cs="宋体"/>
          <w:bCs w:val="0"/>
          <w:color w:val="auto"/>
          <w:sz w:val="24"/>
          <w:szCs w:val="24"/>
          <w:highlight w:val="none"/>
        </w:rPr>
      </w:pPr>
      <w:r>
        <w:rPr>
          <w:rFonts w:hint="eastAsia" w:cs="宋体"/>
          <w:bCs w:val="0"/>
          <w:color w:val="auto"/>
          <w:sz w:val="24"/>
          <w:szCs w:val="24"/>
          <w:highlight w:val="none"/>
        </w:rPr>
        <w:t>二、投标保证金缴存证明</w:t>
      </w:r>
    </w:p>
    <w:p w14:paraId="2F21FDD7">
      <w:pPr>
        <w:ind w:firstLine="482" w:firstLineChars="20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（附投标保证金缴存复印件）</w:t>
      </w:r>
    </w:p>
    <w:p w14:paraId="4613F433">
      <w:pPr>
        <w:pStyle w:val="22"/>
        <w:rPr>
          <w:rFonts w:ascii="宋体" w:hAnsi="宋体" w:eastAsia="宋体" w:cs="宋体"/>
          <w:color w:val="auto"/>
          <w:highlight w:val="none"/>
        </w:rPr>
      </w:pPr>
    </w:p>
    <w:p w14:paraId="068C333B">
      <w:pPr>
        <w:ind w:firstLine="482" w:firstLineChars="200"/>
        <w:jc w:val="left"/>
        <w:rPr>
          <w:rFonts w:ascii="宋体" w:hAnsi="宋体" w:eastAsia="宋体" w:cs="宋体"/>
          <w:b/>
          <w:bCs/>
          <w:color w:val="auto"/>
          <w:sz w:val="24"/>
          <w:highlight w:val="none"/>
        </w:rPr>
      </w:pPr>
    </w:p>
    <w:p w14:paraId="4B9604B9">
      <w:pPr>
        <w:pStyle w:val="5"/>
        <w:numPr>
          <w:ilvl w:val="255"/>
          <w:numId w:val="0"/>
        </w:numPr>
        <w:ind w:firstLine="482" w:firstLineChars="200"/>
        <w:rPr>
          <w:rFonts w:cs="宋体"/>
          <w:bCs w:val="0"/>
          <w:color w:val="auto"/>
          <w:sz w:val="32"/>
          <w:szCs w:val="24"/>
          <w:highlight w:val="none"/>
        </w:rPr>
      </w:pPr>
      <w:r>
        <w:rPr>
          <w:rFonts w:hint="eastAsia" w:cs="宋体"/>
          <w:color w:val="auto"/>
          <w:sz w:val="24"/>
          <w:szCs w:val="24"/>
          <w:highlight w:val="none"/>
        </w:rPr>
        <w:t>三、需提供本项目招标公告</w:t>
      </w:r>
      <w:r>
        <w:rPr>
          <w:rFonts w:hint="eastAsia" w:cs="宋体"/>
          <w:color w:val="auto"/>
          <w:sz w:val="24"/>
          <w:szCs w:val="24"/>
          <w:highlight w:val="none"/>
          <w:u w:val="single"/>
        </w:rPr>
        <w:t>发布之日</w:t>
      </w:r>
      <w:r>
        <w:rPr>
          <w:rFonts w:hint="eastAsia" w:cs="宋体"/>
          <w:color w:val="auto"/>
          <w:sz w:val="24"/>
          <w:szCs w:val="24"/>
          <w:highlight w:val="none"/>
        </w:rPr>
        <w:t>起“</w:t>
      </w:r>
      <w:r>
        <w:rPr>
          <w:rFonts w:hint="eastAsia" w:cs="宋体"/>
          <w:bCs w:val="0"/>
          <w:color w:val="auto"/>
          <w:sz w:val="24"/>
          <w:szCs w:val="24"/>
          <w:highlight w:val="none"/>
        </w:rPr>
        <w:t>信用中国”（www.creditchina.gov.cn）记录查询网页截图、中国政府采购网（www.ccgp.gov.cn）记录查询网页截图、国家企业信用信息公示系统”股权结构查询。（查询结果网页截图）（根据招标文件要求提供）</w:t>
      </w:r>
    </w:p>
    <w:p w14:paraId="55400014">
      <w:pPr>
        <w:spacing w:line="360" w:lineRule="auto"/>
        <w:ind w:firstLine="360" w:firstLineChars="150"/>
        <w:jc w:val="left"/>
        <w:rPr>
          <w:rFonts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注：若投标人未按实际情况提供或提供虚假信息，经评标委员会讨论后，应作废标处理。</w:t>
      </w:r>
      <w:r>
        <w:rPr>
          <w:rFonts w:hint="eastAsia" w:ascii="宋体" w:hAnsi="宋体" w:eastAsia="宋体" w:cs="宋体"/>
          <w:color w:val="auto"/>
          <w:sz w:val="24"/>
          <w:highlight w:val="none"/>
        </w:rPr>
        <w:t>）</w:t>
      </w:r>
    </w:p>
    <w:p w14:paraId="134FD510">
      <w:pPr>
        <w:pStyle w:val="5"/>
        <w:numPr>
          <w:ilvl w:val="255"/>
          <w:numId w:val="0"/>
        </w:numPr>
        <w:ind w:firstLine="482" w:firstLineChars="200"/>
        <w:rPr>
          <w:rFonts w:cs="宋体"/>
          <w:bCs w:val="0"/>
          <w:color w:val="auto"/>
          <w:kern w:val="2"/>
          <w:sz w:val="24"/>
          <w:szCs w:val="24"/>
          <w:highlight w:val="none"/>
        </w:rPr>
      </w:pPr>
    </w:p>
    <w:p w14:paraId="78AD7976">
      <w:pPr>
        <w:pStyle w:val="5"/>
        <w:numPr>
          <w:ilvl w:val="255"/>
          <w:numId w:val="0"/>
        </w:numPr>
        <w:ind w:firstLine="482" w:firstLineChars="200"/>
        <w:rPr>
          <w:rFonts w:cs="宋体"/>
          <w:bCs w:val="0"/>
          <w:color w:val="auto"/>
          <w:kern w:val="2"/>
          <w:sz w:val="24"/>
          <w:szCs w:val="24"/>
          <w:highlight w:val="none"/>
        </w:rPr>
      </w:pPr>
      <w:r>
        <w:rPr>
          <w:rFonts w:hint="eastAsia" w:cs="宋体"/>
          <w:bCs w:val="0"/>
          <w:color w:val="auto"/>
          <w:kern w:val="2"/>
          <w:sz w:val="24"/>
          <w:szCs w:val="24"/>
          <w:highlight w:val="none"/>
        </w:rPr>
        <w:t>四、</w:t>
      </w:r>
      <w:r>
        <w:rPr>
          <w:rFonts w:hint="eastAsia" w:cs="宋体"/>
          <w:color w:val="auto"/>
          <w:sz w:val="24"/>
          <w:szCs w:val="24"/>
          <w:highlight w:val="none"/>
        </w:rPr>
        <w:t>投标单位在 2021年1月1日(以合同签订时间为准)至投标截止日以来具有</w:t>
      </w:r>
      <w:r>
        <w:rPr>
          <w:rFonts w:hint="eastAsia" w:cs="宋体"/>
          <w:color w:val="auto"/>
          <w:sz w:val="24"/>
          <w:szCs w:val="24"/>
          <w:highlight w:val="none"/>
          <w:lang w:val="en-US" w:eastAsia="zh-CN"/>
        </w:rPr>
        <w:t>1</w:t>
      </w:r>
      <w:r>
        <w:rPr>
          <w:rFonts w:hint="eastAsia" w:cs="宋体"/>
          <w:color w:val="auto"/>
          <w:sz w:val="24"/>
          <w:szCs w:val="24"/>
          <w:highlight w:val="none"/>
        </w:rPr>
        <w:t>个</w:t>
      </w:r>
      <w:r>
        <w:rPr>
          <w:rFonts w:hint="eastAsia" w:cs="宋体"/>
          <w:snapToGrid w:val="0"/>
          <w:color w:val="auto"/>
          <w:sz w:val="24"/>
          <w:szCs w:val="24"/>
          <w:highlight w:val="none"/>
        </w:rPr>
        <w:t>烟气在线监测运维</w:t>
      </w:r>
      <w:r>
        <w:rPr>
          <w:rFonts w:hint="eastAsia" w:cs="宋体"/>
          <w:color w:val="auto"/>
          <w:sz w:val="24"/>
          <w:szCs w:val="24"/>
          <w:highlight w:val="none"/>
        </w:rPr>
        <w:t>项目业绩(证明材料:提供合同复印件并加盖公章)</w:t>
      </w:r>
    </w:p>
    <w:p w14:paraId="32199BFA">
      <w:pPr>
        <w:pStyle w:val="5"/>
        <w:numPr>
          <w:ilvl w:val="255"/>
          <w:numId w:val="0"/>
        </w:numPr>
        <w:ind w:firstLine="482" w:firstLineChars="200"/>
        <w:rPr>
          <w:rFonts w:cs="宋体"/>
          <w:bCs w:val="0"/>
          <w:color w:val="auto"/>
          <w:kern w:val="2"/>
          <w:sz w:val="24"/>
          <w:szCs w:val="24"/>
          <w:highlight w:val="none"/>
        </w:rPr>
      </w:pPr>
    </w:p>
    <w:p w14:paraId="1B81A641">
      <w:pPr>
        <w:pStyle w:val="5"/>
        <w:numPr>
          <w:ilvl w:val="255"/>
          <w:numId w:val="0"/>
        </w:numPr>
        <w:ind w:firstLine="482" w:firstLineChars="200"/>
        <w:rPr>
          <w:rFonts w:cs="宋体"/>
          <w:bCs w:val="0"/>
          <w:color w:val="auto"/>
          <w:kern w:val="2"/>
          <w:sz w:val="24"/>
          <w:szCs w:val="24"/>
          <w:highlight w:val="none"/>
        </w:rPr>
      </w:pPr>
      <w:r>
        <w:rPr>
          <w:rFonts w:hint="eastAsia" w:cs="宋体"/>
          <w:bCs w:val="0"/>
          <w:color w:val="auto"/>
          <w:kern w:val="2"/>
          <w:sz w:val="24"/>
          <w:szCs w:val="24"/>
          <w:highlight w:val="none"/>
        </w:rPr>
        <w:t>五、</w:t>
      </w:r>
      <w:r>
        <w:rPr>
          <w:rFonts w:hint="eastAsia" w:cs="宋体"/>
          <w:color w:val="auto"/>
          <w:sz w:val="24"/>
          <w:szCs w:val="24"/>
          <w:highlight w:val="none"/>
        </w:rPr>
        <w:t>其他资格证明证明材料（复印件加盖公章）</w:t>
      </w:r>
    </w:p>
    <w:p w14:paraId="57D3DCAF">
      <w:pPr>
        <w:rPr>
          <w:rFonts w:ascii="宋体" w:hAnsi="宋体" w:eastAsia="宋体" w:cs="宋体"/>
          <w:b/>
          <w:color w:val="auto"/>
          <w:kern w:val="0"/>
          <w:szCs w:val="32"/>
          <w:highlight w:val="none"/>
        </w:rPr>
      </w:pPr>
    </w:p>
    <w:p w14:paraId="75C613F1">
      <w:pPr>
        <w:wordWrap w:val="0"/>
        <w:spacing w:line="360" w:lineRule="auto"/>
        <w:jc w:val="center"/>
        <w:outlineLvl w:val="0"/>
        <w:rPr>
          <w:rFonts w:ascii="宋体" w:hAnsi="宋体" w:eastAsia="宋体" w:cs="宋体"/>
          <w:b/>
          <w:bCs/>
          <w:color w:val="auto"/>
          <w:sz w:val="24"/>
          <w:highlight w:val="none"/>
        </w:rPr>
      </w:pPr>
      <w:bookmarkStart w:id="98" w:name="_Toc83886044"/>
      <w:bookmarkStart w:id="99" w:name="_Toc18885"/>
    </w:p>
    <w:p w14:paraId="4AF7F3BE">
      <w:pPr>
        <w:wordWrap w:val="0"/>
        <w:spacing w:line="360" w:lineRule="auto"/>
        <w:jc w:val="center"/>
        <w:outlineLvl w:val="0"/>
        <w:rPr>
          <w:rFonts w:ascii="宋体" w:hAnsi="宋体" w:eastAsia="宋体" w:cs="宋体"/>
          <w:b/>
          <w:bCs/>
          <w:color w:val="auto"/>
          <w:sz w:val="24"/>
          <w:highlight w:val="none"/>
        </w:rPr>
      </w:pPr>
    </w:p>
    <w:p w14:paraId="254EAF25">
      <w:pPr>
        <w:wordWrap w:val="0"/>
        <w:spacing w:line="360" w:lineRule="auto"/>
        <w:jc w:val="center"/>
        <w:outlineLvl w:val="0"/>
        <w:rPr>
          <w:rFonts w:ascii="宋体" w:hAnsi="宋体" w:eastAsia="宋体" w:cs="宋体"/>
          <w:b/>
          <w:bCs/>
          <w:color w:val="auto"/>
          <w:sz w:val="24"/>
          <w:highlight w:val="none"/>
        </w:rPr>
      </w:pPr>
    </w:p>
    <w:p w14:paraId="56A1E03A">
      <w:pPr>
        <w:wordWrap w:val="0"/>
        <w:spacing w:line="360" w:lineRule="auto"/>
        <w:jc w:val="center"/>
        <w:outlineLvl w:val="0"/>
        <w:rPr>
          <w:rFonts w:ascii="宋体" w:hAnsi="宋体" w:eastAsia="宋体" w:cs="宋体"/>
          <w:b/>
          <w:bCs/>
          <w:color w:val="auto"/>
          <w:sz w:val="24"/>
          <w:highlight w:val="none"/>
        </w:rPr>
      </w:pPr>
    </w:p>
    <w:p w14:paraId="1B23FD58">
      <w:pPr>
        <w:wordWrap w:val="0"/>
        <w:spacing w:line="360" w:lineRule="auto"/>
        <w:jc w:val="center"/>
        <w:outlineLvl w:val="0"/>
        <w:rPr>
          <w:rFonts w:ascii="宋体" w:hAnsi="宋体" w:eastAsia="宋体" w:cs="宋体"/>
          <w:b/>
          <w:bCs/>
          <w:color w:val="auto"/>
          <w:sz w:val="24"/>
          <w:highlight w:val="none"/>
        </w:rPr>
      </w:pPr>
    </w:p>
    <w:p w14:paraId="4EBADE80">
      <w:pPr>
        <w:wordWrap w:val="0"/>
        <w:spacing w:line="360" w:lineRule="auto"/>
        <w:jc w:val="center"/>
        <w:outlineLvl w:val="0"/>
        <w:rPr>
          <w:rFonts w:ascii="宋体" w:hAnsi="宋体" w:eastAsia="宋体" w:cs="宋体"/>
          <w:b/>
          <w:bCs/>
          <w:color w:val="auto"/>
          <w:sz w:val="24"/>
          <w:highlight w:val="none"/>
        </w:rPr>
      </w:pPr>
    </w:p>
    <w:p w14:paraId="71F6C3EA">
      <w:pPr>
        <w:wordWrap w:val="0"/>
        <w:spacing w:line="360" w:lineRule="auto"/>
        <w:jc w:val="center"/>
        <w:outlineLvl w:val="0"/>
        <w:rPr>
          <w:rFonts w:ascii="宋体" w:hAnsi="宋体" w:eastAsia="宋体" w:cs="宋体"/>
          <w:b/>
          <w:bCs/>
          <w:color w:val="auto"/>
          <w:sz w:val="24"/>
          <w:highlight w:val="none"/>
        </w:rPr>
      </w:pPr>
    </w:p>
    <w:p w14:paraId="22C6EC09">
      <w:pPr>
        <w:wordWrap w:val="0"/>
        <w:spacing w:line="360" w:lineRule="auto"/>
        <w:jc w:val="center"/>
        <w:outlineLvl w:val="0"/>
        <w:rPr>
          <w:rFonts w:ascii="宋体" w:hAnsi="宋体" w:eastAsia="宋体" w:cs="宋体"/>
          <w:b/>
          <w:bCs/>
          <w:color w:val="auto"/>
          <w:sz w:val="24"/>
          <w:highlight w:val="none"/>
        </w:rPr>
      </w:pPr>
    </w:p>
    <w:p w14:paraId="4459CAD8">
      <w:pPr>
        <w:wordWrap w:val="0"/>
        <w:spacing w:line="360" w:lineRule="auto"/>
        <w:jc w:val="center"/>
        <w:outlineLvl w:val="0"/>
        <w:rPr>
          <w:rFonts w:ascii="宋体" w:hAnsi="宋体" w:eastAsia="宋体" w:cs="宋体"/>
          <w:b/>
          <w:bCs/>
          <w:color w:val="auto"/>
          <w:sz w:val="24"/>
          <w:highlight w:val="none"/>
        </w:rPr>
      </w:pPr>
    </w:p>
    <w:p w14:paraId="43C79570">
      <w:pPr>
        <w:wordWrap w:val="0"/>
        <w:spacing w:line="360" w:lineRule="auto"/>
        <w:jc w:val="center"/>
        <w:outlineLvl w:val="0"/>
        <w:rPr>
          <w:rFonts w:ascii="宋体" w:hAnsi="宋体" w:eastAsia="宋体" w:cs="宋体"/>
          <w:b/>
          <w:bCs/>
          <w:color w:val="auto"/>
          <w:sz w:val="24"/>
          <w:highlight w:val="none"/>
        </w:rPr>
      </w:pPr>
    </w:p>
    <w:p w14:paraId="5ABCC2C7">
      <w:pPr>
        <w:wordWrap w:val="0"/>
        <w:spacing w:line="360" w:lineRule="auto"/>
        <w:jc w:val="center"/>
        <w:outlineLvl w:val="0"/>
        <w:rPr>
          <w:rFonts w:ascii="宋体" w:hAnsi="宋体" w:eastAsia="宋体" w:cs="宋体"/>
          <w:b/>
          <w:bCs/>
          <w:color w:val="auto"/>
          <w:sz w:val="24"/>
          <w:highlight w:val="none"/>
        </w:rPr>
      </w:pPr>
    </w:p>
    <w:p w14:paraId="16892503">
      <w:pPr>
        <w:wordWrap w:val="0"/>
        <w:spacing w:line="360" w:lineRule="auto"/>
        <w:jc w:val="center"/>
        <w:outlineLvl w:val="0"/>
        <w:rPr>
          <w:rFonts w:ascii="宋体" w:hAnsi="宋体" w:eastAsia="宋体" w:cs="宋体"/>
          <w:b/>
          <w:bCs/>
          <w:color w:val="auto"/>
          <w:sz w:val="24"/>
          <w:highlight w:val="none"/>
        </w:rPr>
      </w:pPr>
      <w:r>
        <w:rPr>
          <w:rFonts w:hint="eastAsia" w:ascii="宋体" w:hAnsi="宋体" w:eastAsia="宋体" w:cs="宋体"/>
          <w:b/>
          <w:bCs/>
          <w:color w:val="auto"/>
          <w:sz w:val="24"/>
          <w:highlight w:val="none"/>
        </w:rPr>
        <w:t>第二部分、商务文件</w:t>
      </w:r>
      <w:bookmarkEnd w:id="98"/>
      <w:bookmarkEnd w:id="99"/>
    </w:p>
    <w:p w14:paraId="265D99F7">
      <w:pPr>
        <w:pStyle w:val="5"/>
        <w:jc w:val="center"/>
        <w:rPr>
          <w:rFonts w:cs="宋体"/>
          <w:color w:val="auto"/>
          <w:sz w:val="24"/>
          <w:szCs w:val="24"/>
          <w:highlight w:val="none"/>
        </w:rPr>
      </w:pPr>
      <w:r>
        <w:rPr>
          <w:rFonts w:hint="eastAsia" w:cs="宋体"/>
          <w:color w:val="auto"/>
          <w:sz w:val="24"/>
          <w:szCs w:val="24"/>
          <w:highlight w:val="none"/>
        </w:rPr>
        <w:t>一、投 标 函</w:t>
      </w:r>
    </w:p>
    <w:p w14:paraId="6FE86335">
      <w:pPr>
        <w:tabs>
          <w:tab w:val="left" w:pos="2111"/>
        </w:tabs>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（招标人名称</w:t>
      </w:r>
      <w:r>
        <w:rPr>
          <w:rFonts w:hint="eastAsia" w:ascii="宋体" w:hAnsi="宋体" w:eastAsia="宋体" w:cs="宋体"/>
          <w:color w:val="auto"/>
          <w:spacing w:val="-23"/>
          <w:sz w:val="24"/>
          <w:highlight w:val="none"/>
          <w:u w:val="single"/>
        </w:rPr>
        <w:t>）</w:t>
      </w:r>
      <w:r>
        <w:rPr>
          <w:rFonts w:hint="eastAsia" w:ascii="宋体" w:hAnsi="宋体" w:eastAsia="宋体" w:cs="宋体"/>
          <w:color w:val="auto"/>
          <w:spacing w:val="-23"/>
          <w:sz w:val="24"/>
          <w:highlight w:val="none"/>
        </w:rPr>
        <w:t>：</w:t>
      </w:r>
    </w:p>
    <w:p w14:paraId="4132D739">
      <w:pPr>
        <w:adjustRightInd w:val="0"/>
        <w:snapToGrid w:val="0"/>
        <w:spacing w:line="360" w:lineRule="auto"/>
        <w:ind w:left="182" w:leftChars="57" w:firstLine="360" w:firstLineChars="150"/>
        <w:rPr>
          <w:rFonts w:ascii="宋体" w:hAnsi="宋体" w:eastAsia="宋体" w:cs="宋体"/>
          <w:color w:val="auto"/>
          <w:sz w:val="24"/>
          <w:highlight w:val="none"/>
        </w:rPr>
      </w:pPr>
      <w:r>
        <w:rPr>
          <w:rFonts w:hint="eastAsia" w:ascii="宋体" w:hAnsi="宋体" w:eastAsia="宋体" w:cs="宋体"/>
          <w:color w:val="auto"/>
          <w:sz w:val="24"/>
          <w:highlight w:val="none"/>
        </w:rPr>
        <w:t xml:space="preserve">1．我方仔细研究了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）招标文件（包括招标补充文件）的全部内容，愿意以人民币（大写）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r>
        <w:rPr>
          <w:rFonts w:hint="eastAsia" w:ascii="宋体" w:hAnsi="宋体" w:eastAsia="宋体" w:cs="宋体"/>
          <w:color w:val="auto"/>
          <w:sz w:val="24"/>
          <w:highlight w:val="none"/>
          <w:u w:val="single"/>
        </w:rPr>
        <w:t xml:space="preserve">       元/套/年</w:t>
      </w:r>
      <w:r>
        <w:rPr>
          <w:rFonts w:hint="eastAsia" w:ascii="宋体" w:hAnsi="宋体" w:eastAsia="宋体" w:cs="宋体"/>
          <w:color w:val="auto"/>
          <w:sz w:val="24"/>
          <w:highlight w:val="none"/>
        </w:rPr>
        <w:t>）的投标单价（含税）承担本项目的相关工作，服务期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6777FFF">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2．我方承诺在投标有效期内不撤销投标文件（从投标截止日起90日历天）</w:t>
      </w:r>
      <w:r>
        <w:rPr>
          <w:rFonts w:hint="eastAsia" w:ascii="宋体" w:hAnsi="宋体" w:eastAsia="宋体" w:cs="宋体"/>
          <w:b/>
          <w:bCs/>
          <w:color w:val="auto"/>
          <w:sz w:val="24"/>
          <w:highlight w:val="none"/>
        </w:rPr>
        <w:t>注：按项目实际情况予以修改投标有效期</w:t>
      </w:r>
      <w:r>
        <w:rPr>
          <w:rFonts w:hint="eastAsia" w:ascii="宋体" w:hAnsi="宋体" w:eastAsia="宋体" w:cs="宋体"/>
          <w:color w:val="auto"/>
          <w:sz w:val="24"/>
          <w:highlight w:val="none"/>
        </w:rPr>
        <w:t>。</w:t>
      </w:r>
    </w:p>
    <w:p w14:paraId="41762EC1">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3．我方已详细审查全部招标文件、包括修改文件(如需要修改)以及全部参考资料和有关附件。我们完全理解并同意放弃对这方面有不明及误解的权利。</w:t>
      </w:r>
    </w:p>
    <w:p w14:paraId="6DEC8923">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 我方同意按照招标人要求提供与其招标有关的一切数据和资料，完全理解招标人不一定接受最低价的投标或收到的任何投标。</w:t>
      </w:r>
    </w:p>
    <w:p w14:paraId="2655FA8E">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5．如我方中标：</w:t>
      </w:r>
    </w:p>
    <w:p w14:paraId="4B79D05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（1）我方承诺收到中标通知书后，在中标通知书规定的期限内与你方签订合同。</w:t>
      </w:r>
    </w:p>
    <w:p w14:paraId="1B3B2ACC">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（2）我方承诺按照招标文件规定向你方递交履约担保。</w:t>
      </w:r>
    </w:p>
    <w:p w14:paraId="47E591A0">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（3）我方承诺在合同约定的期限内完成所有工作内容。</w:t>
      </w:r>
    </w:p>
    <w:p w14:paraId="4D1085D5">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6．我方在此声明，所递交的投标文件及有关资料内容完整、真实和准确。</w:t>
      </w:r>
    </w:p>
    <w:p w14:paraId="0DEB2D00">
      <w:pPr>
        <w:spacing w:line="440" w:lineRule="exact"/>
        <w:ind w:firstLine="504" w:firstLineChars="200"/>
        <w:contextualSpacing/>
        <w:rPr>
          <w:rFonts w:ascii="宋体" w:hAnsi="宋体" w:eastAsia="宋体" w:cs="宋体"/>
          <w:color w:val="auto"/>
          <w:spacing w:val="6"/>
          <w:position w:val="1"/>
          <w:sz w:val="24"/>
          <w:highlight w:val="none"/>
        </w:rPr>
      </w:pPr>
      <w:r>
        <w:rPr>
          <w:rFonts w:hint="eastAsia" w:ascii="宋体" w:hAnsi="宋体" w:eastAsia="宋体" w:cs="宋体"/>
          <w:color w:val="auto"/>
          <w:spacing w:val="6"/>
          <w:position w:val="1"/>
          <w:sz w:val="24"/>
          <w:highlight w:val="none"/>
        </w:rPr>
        <w:t>7.如我方在响应过程中，发生招标文件规定的招标人可以不退还投标保证金的情形的，我方同意招标人不退还我方缴纳的全部投标保证金。</w:t>
      </w:r>
    </w:p>
    <w:p w14:paraId="122A0CB4">
      <w:pPr>
        <w:spacing w:line="440" w:lineRule="exact"/>
        <w:ind w:firstLine="504" w:firstLineChars="200"/>
        <w:contextualSpacing/>
        <w:rPr>
          <w:rFonts w:ascii="宋体" w:hAnsi="宋体" w:eastAsia="宋体" w:cs="宋体"/>
          <w:color w:val="auto"/>
          <w:sz w:val="24"/>
          <w:highlight w:val="none"/>
        </w:rPr>
      </w:pPr>
      <w:r>
        <w:rPr>
          <w:rFonts w:hint="eastAsia" w:ascii="宋体" w:hAnsi="宋体" w:eastAsia="宋体" w:cs="宋体"/>
          <w:color w:val="auto"/>
          <w:spacing w:val="6"/>
          <w:position w:val="1"/>
          <w:sz w:val="24"/>
          <w:highlight w:val="none"/>
        </w:rPr>
        <w:t>8.</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（其他补充说明）。</w:t>
      </w:r>
    </w:p>
    <w:p w14:paraId="7236159A">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pacing w:val="-1"/>
          <w:sz w:val="24"/>
          <w:highlight w:val="none"/>
        </w:rPr>
        <w:t>：</w:t>
      </w:r>
      <w:r>
        <w:rPr>
          <w:rFonts w:hint="eastAsia" w:ascii="宋体" w:hAnsi="宋体" w:eastAsia="宋体" w:cs="宋体"/>
          <w:color w:val="auto"/>
          <w:sz w:val="24"/>
          <w:highlight w:val="none"/>
        </w:rPr>
        <w:t>（盖单位公章）</w:t>
      </w:r>
    </w:p>
    <w:p w14:paraId="1FE7A856">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snapToGrid w:val="0"/>
          <w:color w:val="auto"/>
          <w:kern w:val="0"/>
          <w:sz w:val="24"/>
          <w:highlight w:val="none"/>
        </w:rPr>
        <w:t>（负责人）</w:t>
      </w:r>
      <w:r>
        <w:rPr>
          <w:rFonts w:hint="eastAsia" w:ascii="宋体" w:hAnsi="宋体" w:eastAsia="宋体" w:cs="宋体"/>
          <w:color w:val="auto"/>
          <w:sz w:val="24"/>
          <w:highlight w:val="none"/>
        </w:rPr>
        <w:t>或其委托代理人：（签字或盖章）</w:t>
      </w:r>
    </w:p>
    <w:p w14:paraId="1531BA98">
      <w:pPr>
        <w:spacing w:line="440" w:lineRule="exact"/>
        <w:contextualSpacing/>
        <w:rPr>
          <w:rFonts w:ascii="宋体" w:hAnsi="宋体" w:eastAsia="宋体" w:cs="宋体"/>
          <w:color w:val="auto"/>
          <w:sz w:val="24"/>
          <w:highlight w:val="none"/>
        </w:rPr>
      </w:pPr>
      <w:r>
        <w:rPr>
          <w:rFonts w:hint="eastAsia" w:ascii="宋体" w:hAnsi="宋体" w:eastAsia="宋体" w:cs="宋体"/>
          <w:color w:val="auto"/>
          <w:position w:val="15"/>
          <w:sz w:val="24"/>
          <w:highlight w:val="none"/>
        </w:rPr>
        <w:t xml:space="preserve">联系地址 </w:t>
      </w:r>
      <w:r>
        <w:rPr>
          <w:rFonts w:hint="eastAsia" w:ascii="宋体" w:hAnsi="宋体" w:eastAsia="宋体" w:cs="宋体"/>
          <w:color w:val="auto"/>
          <w:spacing w:val="-69"/>
          <w:position w:val="15"/>
          <w:sz w:val="24"/>
          <w:highlight w:val="none"/>
        </w:rPr>
        <w:t>：</w:t>
      </w:r>
    </w:p>
    <w:p w14:paraId="2FD01A68">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pacing w:val="3"/>
          <w:sz w:val="24"/>
          <w:highlight w:val="none"/>
        </w:rPr>
        <w:t>联系人</w:t>
      </w:r>
      <w:r>
        <w:rPr>
          <w:rFonts w:hint="eastAsia" w:ascii="宋体" w:hAnsi="宋体" w:eastAsia="宋体" w:cs="宋体"/>
          <w:color w:val="auto"/>
          <w:spacing w:val="4"/>
          <w:sz w:val="24"/>
          <w:highlight w:val="none"/>
        </w:rPr>
        <w:t>：</w:t>
      </w:r>
    </w:p>
    <w:p w14:paraId="5D91E2AB">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电    话 </w:t>
      </w:r>
      <w:r>
        <w:rPr>
          <w:rFonts w:hint="eastAsia" w:ascii="宋体" w:hAnsi="宋体" w:eastAsia="宋体" w:cs="宋体"/>
          <w:color w:val="auto"/>
          <w:spacing w:val="-94"/>
          <w:sz w:val="24"/>
          <w:highlight w:val="none"/>
        </w:rPr>
        <w:t>：</w:t>
      </w:r>
    </w:p>
    <w:p w14:paraId="40B1A0A0">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pacing w:val="6"/>
          <w:sz w:val="24"/>
          <w:highlight w:val="none"/>
        </w:rPr>
        <w:t>开</w:t>
      </w:r>
      <w:r>
        <w:rPr>
          <w:rFonts w:hint="eastAsia" w:ascii="宋体" w:hAnsi="宋体" w:eastAsia="宋体" w:cs="宋体"/>
          <w:color w:val="auto"/>
          <w:spacing w:val="5"/>
          <w:sz w:val="24"/>
          <w:highlight w:val="none"/>
        </w:rPr>
        <w:t>户银行</w:t>
      </w:r>
      <w:r>
        <w:rPr>
          <w:rFonts w:hint="eastAsia" w:ascii="宋体" w:hAnsi="宋体" w:eastAsia="宋体" w:cs="宋体"/>
          <w:color w:val="auto"/>
          <w:spacing w:val="7"/>
          <w:sz w:val="24"/>
          <w:highlight w:val="none"/>
        </w:rPr>
        <w:t>：</w:t>
      </w:r>
    </w:p>
    <w:p w14:paraId="796BE02E">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账   号 </w:t>
      </w:r>
      <w:r>
        <w:rPr>
          <w:rFonts w:hint="eastAsia" w:ascii="宋体" w:hAnsi="宋体" w:eastAsia="宋体" w:cs="宋体"/>
          <w:color w:val="auto"/>
          <w:spacing w:val="-72"/>
          <w:sz w:val="24"/>
          <w:highlight w:val="none"/>
        </w:rPr>
        <w:t>：</w:t>
      </w:r>
    </w:p>
    <w:p w14:paraId="3A843E8C">
      <w:pPr>
        <w:spacing w:line="440" w:lineRule="exact"/>
        <w:contextualSpacing/>
        <w:rPr>
          <w:rFonts w:ascii="宋体" w:hAnsi="宋体" w:eastAsia="宋体" w:cs="宋体"/>
          <w:color w:val="auto"/>
          <w:sz w:val="24"/>
          <w:highlight w:val="none"/>
        </w:rPr>
      </w:pPr>
      <w:r>
        <w:rPr>
          <w:rFonts w:hint="eastAsia" w:ascii="宋体" w:hAnsi="宋体" w:eastAsia="宋体" w:cs="宋体"/>
          <w:color w:val="auto"/>
          <w:sz w:val="24"/>
          <w:highlight w:val="none"/>
        </w:rPr>
        <w:t xml:space="preserve">日   期 </w:t>
      </w:r>
      <w:r>
        <w:rPr>
          <w:rFonts w:hint="eastAsia" w:ascii="宋体" w:hAnsi="宋体" w:eastAsia="宋体" w:cs="宋体"/>
          <w:color w:val="auto"/>
          <w:spacing w:val="-1"/>
          <w:sz w:val="24"/>
          <w:highlight w:val="none"/>
        </w:rPr>
        <w:t>：</w:t>
      </w:r>
      <w:r>
        <w:rPr>
          <w:rFonts w:hint="eastAsia" w:ascii="宋体" w:hAnsi="宋体" w:eastAsia="宋体" w:cs="宋体"/>
          <w:color w:val="auto"/>
          <w:sz w:val="24"/>
          <w:highlight w:val="none"/>
        </w:rPr>
        <w:t>年   月   日</w:t>
      </w:r>
    </w:p>
    <w:p w14:paraId="1EDDEC0C">
      <w:pPr>
        <w:spacing w:line="440" w:lineRule="exact"/>
        <w:rPr>
          <w:rFonts w:ascii="宋体" w:hAnsi="宋体" w:eastAsia="宋体" w:cs="宋体"/>
          <w:color w:val="auto"/>
          <w:sz w:val="24"/>
          <w:highlight w:val="none"/>
        </w:rPr>
        <w:sectPr>
          <w:pgSz w:w="11906" w:h="16838"/>
          <w:pgMar w:top="1440" w:right="1080" w:bottom="1440" w:left="1080" w:header="0" w:footer="714" w:gutter="0"/>
          <w:cols w:space="720" w:num="1"/>
          <w:docGrid w:linePitch="286" w:charSpace="0"/>
        </w:sectPr>
      </w:pPr>
    </w:p>
    <w:p w14:paraId="4DCA01A3">
      <w:pPr>
        <w:pStyle w:val="5"/>
        <w:jc w:val="center"/>
        <w:rPr>
          <w:rFonts w:cs="宋体"/>
          <w:bCs w:val="0"/>
          <w:color w:val="auto"/>
          <w:sz w:val="24"/>
          <w:szCs w:val="24"/>
          <w:highlight w:val="none"/>
        </w:rPr>
      </w:pPr>
      <w:r>
        <w:rPr>
          <w:rFonts w:hint="eastAsia" w:cs="宋体"/>
          <w:bCs w:val="0"/>
          <w:color w:val="auto"/>
          <w:sz w:val="24"/>
          <w:szCs w:val="24"/>
          <w:highlight w:val="none"/>
        </w:rPr>
        <w:t>二、投标报价明细表</w:t>
      </w:r>
    </w:p>
    <w:p w14:paraId="59AD96DE">
      <w:pPr>
        <w:tabs>
          <w:tab w:val="left" w:pos="2580"/>
          <w:tab w:val="left" w:pos="5940"/>
        </w:tabs>
        <w:autoSpaceDE w:val="0"/>
        <w:autoSpaceDN w:val="0"/>
        <w:adjustRightInd w:val="0"/>
        <w:snapToGrid w:val="0"/>
        <w:spacing w:line="300" w:lineRule="auto"/>
        <w:ind w:right="-20"/>
        <w:rPr>
          <w:rFonts w:ascii="宋体" w:hAnsi="宋体" w:eastAsia="宋体" w:cs="宋体"/>
          <w:color w:val="auto"/>
          <w:kern w:val="0"/>
          <w:sz w:val="24"/>
          <w:highlight w:val="none"/>
        </w:rPr>
      </w:pPr>
    </w:p>
    <w:p w14:paraId="73819584">
      <w:pPr>
        <w:tabs>
          <w:tab w:val="left" w:pos="2580"/>
          <w:tab w:val="left" w:pos="5940"/>
        </w:tabs>
        <w:autoSpaceDE w:val="0"/>
        <w:autoSpaceDN w:val="0"/>
        <w:adjustRightInd w:val="0"/>
        <w:snapToGrid w:val="0"/>
        <w:spacing w:line="300" w:lineRule="auto"/>
        <w:ind w:right="-20"/>
        <w:rPr>
          <w:rFonts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项目名称：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招标编号：</w:t>
      </w:r>
      <w:r>
        <w:rPr>
          <w:rFonts w:hint="eastAsia" w:ascii="宋体" w:hAnsi="宋体" w:eastAsia="宋体" w:cs="宋体"/>
          <w:color w:val="auto"/>
          <w:kern w:val="0"/>
          <w:sz w:val="24"/>
          <w:highlight w:val="none"/>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2372"/>
        <w:gridCol w:w="1034"/>
        <w:gridCol w:w="2352"/>
        <w:gridCol w:w="1966"/>
      </w:tblGrid>
      <w:tr w14:paraId="0857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1475" w:type="dxa"/>
            <w:vAlign w:val="center"/>
          </w:tcPr>
          <w:p w14:paraId="4D51E51C">
            <w:pPr>
              <w:widowControl/>
              <w:snapToGrid w:val="0"/>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545" w:type="dxa"/>
            <w:vAlign w:val="center"/>
          </w:tcPr>
          <w:p w14:paraId="59CF3C43">
            <w:pPr>
              <w:widowControl/>
              <w:snapToGrid w:val="0"/>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型号规格</w:t>
            </w:r>
          </w:p>
        </w:tc>
        <w:tc>
          <w:tcPr>
            <w:tcW w:w="1125" w:type="dxa"/>
            <w:vAlign w:val="center"/>
          </w:tcPr>
          <w:p w14:paraId="7E47AF0D">
            <w:pPr>
              <w:widowControl/>
              <w:snapToGrid w:val="0"/>
              <w:jc w:val="center"/>
              <w:textAlignment w:val="center"/>
              <w:rPr>
                <w:rFonts w:ascii="宋体" w:hAnsi="宋体" w:eastAsia="宋体" w:cs="宋体"/>
                <w:color w:val="auto"/>
                <w:szCs w:val="32"/>
                <w:highlight w:val="none"/>
              </w:rPr>
            </w:pPr>
            <w:r>
              <w:rPr>
                <w:rFonts w:hint="eastAsia" w:ascii="宋体" w:hAnsi="宋体" w:eastAsia="宋体" w:cs="宋体"/>
                <w:color w:val="auto"/>
                <w:sz w:val="24"/>
                <w:highlight w:val="none"/>
              </w:rPr>
              <w:t>数量</w:t>
            </w:r>
          </w:p>
        </w:tc>
        <w:tc>
          <w:tcPr>
            <w:tcW w:w="2612" w:type="dxa"/>
            <w:vAlign w:val="center"/>
          </w:tcPr>
          <w:p w14:paraId="1F138853">
            <w:pPr>
              <w:widowControl/>
              <w:snapToGrid w:val="0"/>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含税单价</w:t>
            </w:r>
          </w:p>
          <w:p w14:paraId="4B61A2B5">
            <w:pPr>
              <w:widowControl/>
              <w:snapToGrid w:val="0"/>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（元/套/年）</w:t>
            </w:r>
          </w:p>
        </w:tc>
        <w:tc>
          <w:tcPr>
            <w:tcW w:w="2202" w:type="dxa"/>
            <w:vAlign w:val="center"/>
          </w:tcPr>
          <w:p w14:paraId="7BABC953">
            <w:pPr>
              <w:widowControl/>
              <w:snapToGrid w:val="0"/>
              <w:spacing w:line="360" w:lineRule="auto"/>
              <w:jc w:val="center"/>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含税小计</w:t>
            </w:r>
          </w:p>
        </w:tc>
      </w:tr>
      <w:tr w14:paraId="18D8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475" w:type="dxa"/>
            <w:vAlign w:val="center"/>
          </w:tcPr>
          <w:p w14:paraId="1DAE3C46">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废气在线监测系统及配套系统驻场运维服务</w:t>
            </w:r>
          </w:p>
        </w:tc>
        <w:tc>
          <w:tcPr>
            <w:tcW w:w="2545" w:type="dxa"/>
            <w:vAlign w:val="center"/>
          </w:tcPr>
          <w:p w14:paraId="404B11A9">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聚光稀释法烟气连续监测系统</w:t>
            </w:r>
          </w:p>
          <w:p w14:paraId="1AF15E2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CEMS-2000 D</w:t>
            </w:r>
          </w:p>
        </w:tc>
        <w:tc>
          <w:tcPr>
            <w:tcW w:w="1125" w:type="dxa"/>
            <w:vAlign w:val="center"/>
          </w:tcPr>
          <w:p w14:paraId="38B4FABF">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8套</w:t>
            </w:r>
          </w:p>
        </w:tc>
        <w:tc>
          <w:tcPr>
            <w:tcW w:w="2612" w:type="dxa"/>
            <w:vAlign w:val="center"/>
          </w:tcPr>
          <w:p w14:paraId="1204344D">
            <w:pPr>
              <w:spacing w:line="360" w:lineRule="auto"/>
              <w:jc w:val="center"/>
              <w:rPr>
                <w:rFonts w:ascii="宋体" w:hAnsi="宋体" w:eastAsia="宋体" w:cs="宋体"/>
                <w:color w:val="auto"/>
                <w:sz w:val="24"/>
                <w:highlight w:val="none"/>
              </w:rPr>
            </w:pPr>
          </w:p>
        </w:tc>
        <w:tc>
          <w:tcPr>
            <w:tcW w:w="2202" w:type="dxa"/>
            <w:vAlign w:val="center"/>
          </w:tcPr>
          <w:p w14:paraId="46572951">
            <w:pPr>
              <w:spacing w:line="360" w:lineRule="auto"/>
              <w:jc w:val="center"/>
              <w:rPr>
                <w:rFonts w:ascii="宋体" w:hAnsi="宋体" w:eastAsia="宋体" w:cs="宋体"/>
                <w:color w:val="auto"/>
                <w:sz w:val="24"/>
                <w:highlight w:val="none"/>
              </w:rPr>
            </w:pPr>
          </w:p>
        </w:tc>
      </w:tr>
      <w:tr w14:paraId="19B1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5145" w:type="dxa"/>
            <w:gridSpan w:val="3"/>
            <w:vAlign w:val="center"/>
          </w:tcPr>
          <w:p w14:paraId="529E25B0">
            <w:pPr>
              <w:widowControl/>
              <w:snapToGrid w:val="0"/>
              <w:jc w:val="center"/>
              <w:textAlignment w:val="center"/>
              <w:rPr>
                <w:rFonts w:ascii="宋体" w:hAnsi="宋体" w:eastAsia="宋体" w:cs="宋体"/>
                <w:color w:val="auto"/>
                <w:szCs w:val="32"/>
                <w:highlight w:val="none"/>
              </w:rPr>
            </w:pPr>
            <w:r>
              <w:rPr>
                <w:rFonts w:hint="eastAsia" w:ascii="宋体" w:hAnsi="宋体" w:eastAsia="宋体" w:cs="宋体"/>
                <w:color w:val="auto"/>
                <w:sz w:val="24"/>
                <w:highlight w:val="none"/>
              </w:rPr>
              <w:t>投标总价</w:t>
            </w:r>
          </w:p>
        </w:tc>
        <w:tc>
          <w:tcPr>
            <w:tcW w:w="4814" w:type="dxa"/>
            <w:gridSpan w:val="2"/>
            <w:vAlign w:val="center"/>
          </w:tcPr>
          <w:p w14:paraId="1818A024">
            <w:pPr>
              <w:widowControl/>
              <w:snapToGrid w:val="0"/>
              <w:spacing w:line="360" w:lineRule="auto"/>
              <w:jc w:val="left"/>
              <w:textAlignment w:val="center"/>
              <w:rPr>
                <w:rFonts w:ascii="宋体" w:hAnsi="宋体" w:eastAsia="宋体" w:cs="宋体"/>
                <w:color w:val="auto"/>
                <w:sz w:val="24"/>
                <w:highlight w:val="none"/>
              </w:rPr>
            </w:pPr>
            <w:r>
              <w:rPr>
                <w:rFonts w:hint="eastAsia" w:ascii="宋体" w:hAnsi="宋体" w:eastAsia="宋体" w:cs="宋体"/>
                <w:color w:val="auto"/>
                <w:sz w:val="24"/>
                <w:highlight w:val="none"/>
              </w:rPr>
              <w:t>小写金额：</w:t>
            </w:r>
          </w:p>
          <w:p w14:paraId="03C43855">
            <w:pPr>
              <w:snapToGrid w:val="0"/>
              <w:spacing w:line="360" w:lineRule="exact"/>
              <w:jc w:val="left"/>
              <w:rPr>
                <w:rFonts w:ascii="宋体" w:hAnsi="宋体" w:eastAsia="宋体" w:cs="宋体"/>
                <w:color w:val="auto"/>
                <w:kern w:val="0"/>
                <w:sz w:val="24"/>
                <w:highlight w:val="none"/>
              </w:rPr>
            </w:pPr>
            <w:r>
              <w:rPr>
                <w:rFonts w:hint="eastAsia" w:ascii="宋体" w:hAnsi="宋体" w:eastAsia="宋体" w:cs="宋体"/>
                <w:color w:val="auto"/>
                <w:sz w:val="24"/>
                <w:highlight w:val="none"/>
              </w:rPr>
              <w:t>大写金额：</w:t>
            </w:r>
          </w:p>
        </w:tc>
      </w:tr>
    </w:tbl>
    <w:p w14:paraId="55C48CB1">
      <w:pPr>
        <w:pStyle w:val="66"/>
        <w:spacing w:line="360" w:lineRule="exact"/>
        <w:ind w:right="420" w:firstLine="0" w:firstLineChars="0"/>
        <w:rPr>
          <w:rFonts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注：</w:t>
      </w:r>
    </w:p>
    <w:p w14:paraId="705655C3">
      <w:pPr>
        <w:numPr>
          <w:ilvl w:val="0"/>
          <w:numId w:val="7"/>
        </w:numPr>
        <w:adjustRightInd w:val="0"/>
        <w:snapToGrid w:val="0"/>
        <w:spacing w:line="360" w:lineRule="auto"/>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报价要求货币为人民币，报价包含日常运维费、日常保养费、日常检修费、标气费、第三方检测机构比对检测费用、设备大修费、专用增值税费、运输费用、保险费用、技术服务费用、</w:t>
      </w:r>
      <w:r>
        <w:rPr>
          <w:rFonts w:hint="eastAsia" w:asciiTheme="minorEastAsia" w:hAnsiTheme="minorEastAsia" w:eastAsiaTheme="minorEastAsia" w:cstheme="minorEastAsia"/>
          <w:color w:val="auto"/>
          <w:sz w:val="24"/>
          <w:highlight w:val="none"/>
        </w:rPr>
        <w:t>附属设备维保费</w:t>
      </w:r>
      <w:r>
        <w:rPr>
          <w:rFonts w:hint="eastAsia" w:ascii="宋体" w:hAnsi="宋体" w:eastAsia="宋体" w:cs="宋体"/>
          <w:color w:val="auto"/>
          <w:sz w:val="24"/>
          <w:highlight w:val="none"/>
        </w:rPr>
        <w:t>等所有相关费用，投标单位在投标报价时需综合考虑。</w:t>
      </w:r>
    </w:p>
    <w:p w14:paraId="3B251685">
      <w:pPr>
        <w:adjustRightInd w:val="0"/>
        <w:snapToGrid w:val="0"/>
        <w:spacing w:line="360" w:lineRule="auto"/>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2、报价一经涂改，应在涂改处加盖单位公章或由法定代表人签字或其授权代表签字，否则评标委员会将不接受该修改内容；</w:t>
      </w:r>
    </w:p>
    <w:p w14:paraId="18DDCFC0">
      <w:pPr>
        <w:adjustRightInd w:val="0"/>
        <w:snapToGrid w:val="0"/>
        <w:spacing w:line="360" w:lineRule="auto"/>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3、报价有效期90天；</w:t>
      </w:r>
    </w:p>
    <w:p w14:paraId="1077ADA7">
      <w:pPr>
        <w:adjustRightInd w:val="0"/>
        <w:snapToGrid w:val="0"/>
        <w:spacing w:line="360" w:lineRule="auto"/>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4、单价或总价报价超过最高限价作无效标处理，投标报价出现总价金额与按单价汇总金额不一致的，以总价为准，修改单价。</w:t>
      </w:r>
    </w:p>
    <w:p w14:paraId="5A4D9C49">
      <w:pPr>
        <w:pStyle w:val="8"/>
        <w:rPr>
          <w:rFonts w:ascii="宋体" w:hAnsi="宋体" w:cs="宋体"/>
          <w:color w:val="auto"/>
          <w:highlight w:val="none"/>
        </w:rPr>
      </w:pPr>
    </w:p>
    <w:p w14:paraId="6E717455">
      <w:pPr>
        <w:pStyle w:val="13"/>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投标人（盖公章）：</w:t>
      </w:r>
    </w:p>
    <w:p w14:paraId="1188DC97">
      <w:pPr>
        <w:pStyle w:val="13"/>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 xml:space="preserve">法定代表人（负责人）或其委托代理人（签字或盖章）：          </w:t>
      </w:r>
    </w:p>
    <w:p w14:paraId="4A833C23">
      <w:pPr>
        <w:pStyle w:val="13"/>
        <w:snapToGrid w:val="0"/>
        <w:spacing w:line="360" w:lineRule="auto"/>
        <w:rPr>
          <w:rFonts w:hAnsi="宋体" w:cs="宋体"/>
          <w:color w:val="auto"/>
          <w:sz w:val="24"/>
          <w:szCs w:val="24"/>
          <w:highlight w:val="none"/>
        </w:rPr>
      </w:pPr>
      <w:r>
        <w:rPr>
          <w:rFonts w:hint="eastAsia" w:hAnsi="宋体" w:cs="宋体"/>
          <w:snapToGrid w:val="0"/>
          <w:color w:val="auto"/>
          <w:sz w:val="24"/>
          <w:szCs w:val="24"/>
          <w:highlight w:val="none"/>
        </w:rPr>
        <w:t>日期：</w:t>
      </w:r>
      <w:r>
        <w:rPr>
          <w:rFonts w:hint="eastAsia" w:hAnsi="宋体" w:cs="宋体"/>
          <w:color w:val="auto"/>
          <w:sz w:val="24"/>
          <w:szCs w:val="24"/>
          <w:highlight w:val="none"/>
        </w:rPr>
        <w:t xml:space="preserve">      年    月    日</w:t>
      </w:r>
      <w:bookmarkStart w:id="100" w:name="_Toc30796"/>
    </w:p>
    <w:p w14:paraId="27A6D5CB">
      <w:pPr>
        <w:pStyle w:val="5"/>
        <w:numPr>
          <w:ilvl w:val="255"/>
          <w:numId w:val="0"/>
        </w:numPr>
        <w:jc w:val="center"/>
        <w:rPr>
          <w:rFonts w:cs="宋体"/>
          <w:bCs w:val="0"/>
          <w:color w:val="auto"/>
          <w:sz w:val="24"/>
          <w:szCs w:val="24"/>
          <w:highlight w:val="none"/>
        </w:rPr>
      </w:pPr>
      <w:bookmarkStart w:id="101" w:name="_Toc83886045"/>
      <w:bookmarkStart w:id="102" w:name="_Toc27321"/>
      <w:r>
        <w:rPr>
          <w:rFonts w:hint="eastAsia" w:cs="宋体"/>
          <w:b w:val="0"/>
          <w:bCs w:val="0"/>
          <w:color w:val="auto"/>
          <w:sz w:val="24"/>
          <w:szCs w:val="24"/>
          <w:highlight w:val="none"/>
        </w:rPr>
        <w:t>三、</w:t>
      </w:r>
      <w:r>
        <w:rPr>
          <w:rFonts w:hint="eastAsia" w:cs="宋体"/>
          <w:bCs w:val="0"/>
          <w:color w:val="auto"/>
          <w:sz w:val="24"/>
          <w:szCs w:val="24"/>
          <w:highlight w:val="none"/>
        </w:rPr>
        <w:t>法定代表人身份证明或</w:t>
      </w:r>
    </w:p>
    <w:p w14:paraId="4664A6BC">
      <w:pPr>
        <w:pStyle w:val="5"/>
        <w:numPr>
          <w:ilvl w:val="255"/>
          <w:numId w:val="0"/>
        </w:numPr>
        <w:jc w:val="center"/>
        <w:rPr>
          <w:rFonts w:cs="宋体"/>
          <w:bCs w:val="0"/>
          <w:color w:val="auto"/>
          <w:sz w:val="24"/>
          <w:szCs w:val="24"/>
          <w:highlight w:val="none"/>
        </w:rPr>
      </w:pPr>
      <w:r>
        <w:rPr>
          <w:rFonts w:hint="eastAsia" w:cs="宋体"/>
          <w:bCs w:val="0"/>
          <w:color w:val="auto"/>
          <w:sz w:val="24"/>
          <w:szCs w:val="24"/>
          <w:highlight w:val="none"/>
        </w:rPr>
        <w:t>附有法定代表人和委托代理人身份证明的授权委托书</w:t>
      </w:r>
    </w:p>
    <w:p w14:paraId="1E5D59E8">
      <w:pPr>
        <w:snapToGrid w:val="0"/>
        <w:spacing w:line="360" w:lineRule="auto"/>
        <w:jc w:val="center"/>
        <w:rPr>
          <w:rFonts w:ascii="宋体" w:hAnsi="宋体" w:eastAsia="宋体" w:cs="宋体"/>
          <w:b/>
          <w:bCs/>
          <w:color w:val="auto"/>
          <w:sz w:val="24"/>
          <w:highlight w:val="none"/>
        </w:rPr>
      </w:pPr>
    </w:p>
    <w:p w14:paraId="7E4EEA6D">
      <w:pPr>
        <w:snapToGrid w:val="0"/>
        <w:spacing w:line="360" w:lineRule="auto"/>
        <w:jc w:val="center"/>
        <w:rPr>
          <w:rFonts w:ascii="宋体" w:hAnsi="宋体" w:eastAsia="宋体" w:cs="宋体"/>
          <w:color w:val="auto"/>
          <w:sz w:val="24"/>
          <w:highlight w:val="none"/>
        </w:rPr>
      </w:pPr>
      <w:r>
        <w:rPr>
          <w:rFonts w:hint="eastAsia" w:ascii="宋体" w:hAnsi="宋体" w:eastAsia="宋体" w:cs="宋体"/>
          <w:b/>
          <w:bCs/>
          <w:color w:val="auto"/>
          <w:sz w:val="24"/>
          <w:highlight w:val="none"/>
        </w:rPr>
        <w:t>法定代表人身份证明</w:t>
      </w:r>
    </w:p>
    <w:p w14:paraId="34844CF0">
      <w:pPr>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投标人名称：</w:t>
      </w:r>
      <w:r>
        <w:rPr>
          <w:rFonts w:hint="eastAsia" w:ascii="宋体" w:hAnsi="宋体" w:eastAsia="宋体" w:cs="宋体"/>
          <w:color w:val="auto"/>
          <w:sz w:val="24"/>
          <w:highlight w:val="none"/>
          <w:u w:val="single"/>
        </w:rPr>
        <w:t xml:space="preserve">                                      </w:t>
      </w:r>
    </w:p>
    <w:p w14:paraId="5288580C">
      <w:pPr>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p>
    <w:p w14:paraId="53A69B6D">
      <w:pPr>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single"/>
        </w:rPr>
        <w:t xml:space="preserve">                                            </w:t>
      </w:r>
    </w:p>
    <w:p w14:paraId="39A580FC">
      <w:pPr>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1D521BF7">
      <w:pPr>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经营期限：</w:t>
      </w:r>
    </w:p>
    <w:p w14:paraId="72079317">
      <w:pPr>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27A2DAAF">
      <w:pPr>
        <w:snapToGrid w:val="0"/>
        <w:spacing w:line="36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联系电话：</w:t>
      </w:r>
      <w:r>
        <w:rPr>
          <w:rFonts w:hint="eastAsia" w:ascii="宋体" w:hAnsi="宋体" w:eastAsia="宋体" w:cs="宋体"/>
          <w:color w:val="auto"/>
          <w:sz w:val="24"/>
          <w:highlight w:val="none"/>
          <w:u w:val="single"/>
        </w:rPr>
        <w:t xml:space="preserve">                     </w:t>
      </w:r>
    </w:p>
    <w:p w14:paraId="2DAC32D5">
      <w:pPr>
        <w:snapToGrid w:val="0"/>
        <w:spacing w:line="360" w:lineRule="auto"/>
        <w:ind w:firstLine="560"/>
        <w:rPr>
          <w:rFonts w:ascii="宋体" w:hAnsi="宋体" w:eastAsia="宋体" w:cs="宋体"/>
          <w:color w:val="auto"/>
          <w:sz w:val="24"/>
          <w:highlight w:val="none"/>
        </w:rPr>
      </w:pPr>
    </w:p>
    <w:p w14:paraId="4226E541">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w:t>
      </w:r>
    </w:p>
    <w:p w14:paraId="6935BA37">
      <w:pPr>
        <w:snapToGrid w:val="0"/>
        <w:spacing w:line="360" w:lineRule="auto"/>
        <w:ind w:firstLine="560"/>
        <w:rPr>
          <w:rFonts w:ascii="宋体" w:hAnsi="宋体" w:eastAsia="宋体" w:cs="宋体"/>
          <w:color w:val="auto"/>
          <w:sz w:val="24"/>
          <w:highlight w:val="none"/>
        </w:rPr>
      </w:pPr>
    </w:p>
    <w:p w14:paraId="4D35B462">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特此证明。</w:t>
      </w:r>
    </w:p>
    <w:p w14:paraId="2055FCBA">
      <w:pPr>
        <w:snapToGrid w:val="0"/>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附：法定代表人身份证复印件</w:t>
      </w:r>
    </w:p>
    <w:p w14:paraId="1DCD3F58">
      <w:pPr>
        <w:snapToGrid w:val="0"/>
        <w:spacing w:line="360" w:lineRule="auto"/>
        <w:ind w:firstLine="6868" w:firstLineChars="2960"/>
        <w:rPr>
          <w:rFonts w:ascii="宋体" w:hAnsi="宋体" w:eastAsia="宋体" w:cs="宋体"/>
          <w:color w:val="auto"/>
          <w:sz w:val="24"/>
          <w:highlight w:val="none"/>
        </w:rPr>
      </w:pPr>
      <w:r>
        <w:rPr>
          <w:rFonts w:hint="eastAsia" w:ascii="宋体" w:hAnsi="宋体" w:eastAsia="宋体" w:cs="宋体"/>
          <w:color w:val="auto"/>
          <w:sz w:val="24"/>
          <w:highlight w:val="none"/>
        </w:rPr>
        <w:t xml:space="preserve">投标人：（盖单位公章） </w:t>
      </w:r>
    </w:p>
    <w:p w14:paraId="6603C94A">
      <w:pPr>
        <w:snapToGrid w:val="0"/>
        <w:spacing w:line="36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tbl>
      <w:tblPr>
        <w:tblStyle w:val="2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5FCF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3A4E102C">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法定代表人身份证复印件粘贴处（正、反面）</w:t>
            </w:r>
          </w:p>
        </w:tc>
      </w:tr>
    </w:tbl>
    <w:p w14:paraId="2C931389">
      <w:pPr>
        <w:spacing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注：法定代表人参加开标的，须携带本人身份证或驾驶证或公安机关出具的临时身份证明或港澳台胞证或护照原件（其他诸如市民卡等无效）和法定代表人身份证明原件。</w:t>
      </w:r>
    </w:p>
    <w:p w14:paraId="216127CB">
      <w:pPr>
        <w:spacing w:after="289" w:afterLines="50" w:line="440" w:lineRule="exact"/>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24"/>
          <w:highlight w:val="none"/>
        </w:rPr>
        <w:t>授权委托书</w:t>
      </w:r>
    </w:p>
    <w:p w14:paraId="274052FE">
      <w:pPr>
        <w:spacing w:line="440" w:lineRule="exact"/>
        <w:ind w:firstLine="464" w:firstLineChars="200"/>
        <w:rPr>
          <w:rFonts w:ascii="宋体" w:hAnsi="宋体" w:eastAsia="宋体" w:cs="宋体"/>
          <w:color w:val="auto"/>
          <w:sz w:val="24"/>
          <w:highlight w:val="none"/>
        </w:rPr>
      </w:pPr>
    </w:p>
    <w:p w14:paraId="69BC8F3F">
      <w:pPr>
        <w:spacing w:line="440" w:lineRule="exact"/>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（投标人名称）</w:t>
      </w:r>
      <w:r>
        <w:rPr>
          <w:rFonts w:hint="eastAsia" w:ascii="宋体" w:hAnsi="宋体" w:eastAsia="宋体" w:cs="宋体"/>
          <w:color w:val="auto"/>
          <w:sz w:val="24"/>
          <w:highlight w:val="none"/>
        </w:rPr>
        <w:t>的法定代表人（负责人），现委托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）。代理人根据授权，以我方名义签署、澄清、说明、补正、递交、撤回、修改</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投标文件、签订合同和处理有关事宜，其法律后果由我方承担。</w:t>
      </w:r>
    </w:p>
    <w:p w14:paraId="01D04DD7">
      <w:pPr>
        <w:spacing w:line="440" w:lineRule="exact"/>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2F46DE70">
      <w:pPr>
        <w:spacing w:line="440" w:lineRule="exact"/>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附：委托代理人身份证复印件</w:t>
      </w:r>
    </w:p>
    <w:p w14:paraId="4CD04468">
      <w:pPr>
        <w:spacing w:line="440" w:lineRule="exact"/>
        <w:rPr>
          <w:rFonts w:ascii="宋体" w:hAnsi="宋体" w:eastAsia="宋体" w:cs="宋体"/>
          <w:color w:val="auto"/>
          <w:sz w:val="24"/>
          <w:highlight w:val="none"/>
        </w:rPr>
      </w:pPr>
    </w:p>
    <w:p w14:paraId="6CDD32D4">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投标人：（盖单位公章）</w:t>
      </w:r>
    </w:p>
    <w:p w14:paraId="7CF3E22D">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法定代表人（负责人）：（签字或盖章）</w:t>
      </w:r>
    </w:p>
    <w:p w14:paraId="3338DF98">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27E69ED1">
      <w:pPr>
        <w:spacing w:line="440" w:lineRule="exact"/>
        <w:rPr>
          <w:rFonts w:ascii="宋体" w:hAnsi="宋体" w:eastAsia="宋体" w:cs="宋体"/>
          <w:color w:val="auto"/>
          <w:sz w:val="24"/>
          <w:highlight w:val="none"/>
        </w:rPr>
      </w:pPr>
    </w:p>
    <w:p w14:paraId="55676E2C">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委托的代理人：（签字或盖章）</w:t>
      </w:r>
    </w:p>
    <w:p w14:paraId="7BFA7B4D">
      <w:pPr>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身份证号码：</w:t>
      </w:r>
    </w:p>
    <w:p w14:paraId="535939B3">
      <w:pPr>
        <w:snapToGrid w:val="0"/>
        <w:spacing w:line="360" w:lineRule="auto"/>
        <w:ind w:firstLine="4872" w:firstLineChars="2100"/>
        <w:rPr>
          <w:rFonts w:ascii="宋体" w:hAnsi="宋体" w:eastAsia="宋体" w:cs="宋体"/>
          <w:color w:val="auto"/>
          <w:sz w:val="24"/>
          <w:highlight w:val="none"/>
        </w:rPr>
      </w:pPr>
      <w:r>
        <w:rPr>
          <w:rFonts w:hint="eastAsia" w:ascii="宋体" w:hAnsi="宋体" w:eastAsia="宋体" w:cs="宋体"/>
          <w:color w:val="auto"/>
          <w:sz w:val="24"/>
          <w:highlight w:val="none"/>
        </w:rPr>
        <w:t>日期：      年    月    日</w:t>
      </w:r>
    </w:p>
    <w:tbl>
      <w:tblPr>
        <w:tblStyle w:val="25"/>
        <w:tblW w:w="7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339E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21076444">
            <w:pPr>
              <w:adjustRightInd w:val="0"/>
              <w:snapToGrid w:val="0"/>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委托代理人身份证复印件粘贴处（正、反面）</w:t>
            </w:r>
          </w:p>
        </w:tc>
      </w:tr>
    </w:tbl>
    <w:p w14:paraId="5B5086AE">
      <w:pPr>
        <w:spacing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注：1、如投标文件由委托代理人签字或盖章的，</w:t>
      </w:r>
      <w:r>
        <w:rPr>
          <w:rFonts w:hint="eastAsia" w:ascii="宋体" w:hAnsi="宋体" w:eastAsia="宋体" w:cs="宋体"/>
          <w:b/>
          <w:color w:val="auto"/>
          <w:sz w:val="24"/>
          <w:highlight w:val="none"/>
          <w:u w:val="single"/>
        </w:rPr>
        <w:t>投标文件必须附此授权委托书和法定代表人身份证明</w:t>
      </w:r>
      <w:r>
        <w:rPr>
          <w:rFonts w:hint="eastAsia" w:ascii="宋体" w:hAnsi="宋体" w:eastAsia="宋体" w:cs="宋体"/>
          <w:b/>
          <w:color w:val="auto"/>
          <w:sz w:val="24"/>
          <w:highlight w:val="none"/>
        </w:rPr>
        <w:t>。</w:t>
      </w:r>
    </w:p>
    <w:p w14:paraId="3B4B9B6D">
      <w:pPr>
        <w:spacing w:line="440" w:lineRule="exact"/>
        <w:rPr>
          <w:rFonts w:ascii="宋体" w:hAnsi="宋体" w:eastAsia="宋体" w:cs="宋体"/>
          <w:b/>
          <w:color w:val="auto"/>
          <w:kern w:val="0"/>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kern w:val="0"/>
          <w:sz w:val="24"/>
          <w:highlight w:val="none"/>
        </w:rPr>
        <w:t>委托代理人参加开标的，须携带本人身份证或驾驶证或公安机关出具的临时身份证明或港澳台胞证或护照原件（其他诸如市民卡等无效）、法定代表人身份证明和授权委托书原件。</w:t>
      </w:r>
    </w:p>
    <w:p w14:paraId="5E9672BF">
      <w:pPr>
        <w:pStyle w:val="5"/>
        <w:jc w:val="center"/>
        <w:rPr>
          <w:rFonts w:cs="宋体"/>
          <w:bCs w:val="0"/>
          <w:color w:val="auto"/>
          <w:sz w:val="24"/>
          <w:szCs w:val="24"/>
          <w:highlight w:val="none"/>
        </w:rPr>
      </w:pPr>
      <w:r>
        <w:rPr>
          <w:rFonts w:hint="eastAsia" w:cs="宋体"/>
          <w:bCs w:val="0"/>
          <w:color w:val="auto"/>
          <w:sz w:val="24"/>
          <w:szCs w:val="24"/>
          <w:highlight w:val="none"/>
        </w:rPr>
        <w:t>四、商务偏离表</w:t>
      </w:r>
    </w:p>
    <w:p w14:paraId="4CBCF489">
      <w:pPr>
        <w:adjustRightInd w:val="0"/>
        <w:snapToGrid w:val="0"/>
        <w:spacing w:line="360" w:lineRule="auto"/>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投标人应根据其投标文件响应情况，对照招标文件的要求，有差异的，则在表中写明实际响应的具体内容。</w:t>
      </w:r>
    </w:p>
    <w:tbl>
      <w:tblPr>
        <w:tblStyle w:val="25"/>
        <w:tblpPr w:leftFromText="180" w:rightFromText="180" w:vertAnchor="text" w:horzAnchor="page" w:tblpX="1491" w:tblpY="804"/>
        <w:tblOverlap w:val="never"/>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940"/>
        <w:gridCol w:w="1652"/>
        <w:gridCol w:w="989"/>
        <w:gridCol w:w="2245"/>
        <w:gridCol w:w="1127"/>
        <w:gridCol w:w="1127"/>
      </w:tblGrid>
      <w:tr w14:paraId="77BFB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Merge w:val="restart"/>
            <w:vAlign w:val="center"/>
          </w:tcPr>
          <w:p w14:paraId="07FDFBDF">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92" w:type="dxa"/>
            <w:gridSpan w:val="2"/>
            <w:vAlign w:val="center"/>
          </w:tcPr>
          <w:p w14:paraId="35B45428">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3234" w:type="dxa"/>
            <w:gridSpan w:val="2"/>
            <w:vAlign w:val="center"/>
          </w:tcPr>
          <w:p w14:paraId="620D5A92">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投标文件内容</w:t>
            </w:r>
          </w:p>
        </w:tc>
        <w:tc>
          <w:tcPr>
            <w:tcW w:w="1127" w:type="dxa"/>
            <w:vMerge w:val="restart"/>
            <w:vAlign w:val="center"/>
          </w:tcPr>
          <w:p w14:paraId="35587D4A">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是否响应</w:t>
            </w:r>
          </w:p>
        </w:tc>
        <w:tc>
          <w:tcPr>
            <w:tcW w:w="1127" w:type="dxa"/>
            <w:vMerge w:val="restart"/>
            <w:vAlign w:val="center"/>
          </w:tcPr>
          <w:p w14:paraId="1ECB4917">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2DDB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Merge w:val="continue"/>
            <w:vAlign w:val="center"/>
          </w:tcPr>
          <w:p w14:paraId="11B2C067">
            <w:pPr>
              <w:adjustRightInd w:val="0"/>
              <w:snapToGrid w:val="0"/>
              <w:jc w:val="center"/>
              <w:rPr>
                <w:rFonts w:ascii="宋体" w:hAnsi="宋体" w:eastAsia="宋体" w:cs="宋体"/>
                <w:color w:val="auto"/>
                <w:sz w:val="24"/>
                <w:highlight w:val="none"/>
              </w:rPr>
            </w:pPr>
          </w:p>
        </w:tc>
        <w:tc>
          <w:tcPr>
            <w:tcW w:w="940" w:type="dxa"/>
            <w:vAlign w:val="center"/>
          </w:tcPr>
          <w:p w14:paraId="118BF747">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条目</w:t>
            </w:r>
          </w:p>
        </w:tc>
        <w:tc>
          <w:tcPr>
            <w:tcW w:w="1652" w:type="dxa"/>
            <w:vAlign w:val="center"/>
          </w:tcPr>
          <w:p w14:paraId="419A19B0">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简要内容</w:t>
            </w:r>
          </w:p>
        </w:tc>
        <w:tc>
          <w:tcPr>
            <w:tcW w:w="989" w:type="dxa"/>
            <w:vAlign w:val="center"/>
          </w:tcPr>
          <w:p w14:paraId="4FD845EF">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条目</w:t>
            </w:r>
          </w:p>
        </w:tc>
        <w:tc>
          <w:tcPr>
            <w:tcW w:w="2245" w:type="dxa"/>
            <w:vAlign w:val="center"/>
          </w:tcPr>
          <w:p w14:paraId="36FFC93A">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实际响应的具体内容</w:t>
            </w:r>
          </w:p>
        </w:tc>
        <w:tc>
          <w:tcPr>
            <w:tcW w:w="1127" w:type="dxa"/>
            <w:vMerge w:val="continue"/>
            <w:vAlign w:val="center"/>
          </w:tcPr>
          <w:p w14:paraId="0DD78306">
            <w:pPr>
              <w:adjustRightInd w:val="0"/>
              <w:snapToGrid w:val="0"/>
              <w:jc w:val="center"/>
              <w:rPr>
                <w:rFonts w:ascii="宋体" w:hAnsi="宋体" w:eastAsia="宋体" w:cs="宋体"/>
                <w:color w:val="auto"/>
                <w:sz w:val="24"/>
                <w:highlight w:val="none"/>
              </w:rPr>
            </w:pPr>
          </w:p>
        </w:tc>
        <w:tc>
          <w:tcPr>
            <w:tcW w:w="1127" w:type="dxa"/>
            <w:vMerge w:val="continue"/>
            <w:vAlign w:val="center"/>
          </w:tcPr>
          <w:p w14:paraId="1FCA4590">
            <w:pPr>
              <w:adjustRightInd w:val="0"/>
              <w:snapToGrid w:val="0"/>
              <w:jc w:val="center"/>
              <w:rPr>
                <w:rFonts w:ascii="宋体" w:hAnsi="宋体" w:eastAsia="宋体" w:cs="宋体"/>
                <w:color w:val="auto"/>
                <w:sz w:val="24"/>
                <w:highlight w:val="none"/>
              </w:rPr>
            </w:pPr>
          </w:p>
        </w:tc>
      </w:tr>
      <w:tr w14:paraId="5FC1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55963046">
            <w:pPr>
              <w:adjustRightInd w:val="0"/>
              <w:snapToGrid w:val="0"/>
              <w:jc w:val="center"/>
              <w:rPr>
                <w:rFonts w:ascii="宋体" w:hAnsi="宋体" w:eastAsia="宋体" w:cs="宋体"/>
                <w:color w:val="auto"/>
                <w:sz w:val="24"/>
                <w:highlight w:val="none"/>
              </w:rPr>
            </w:pPr>
          </w:p>
        </w:tc>
        <w:tc>
          <w:tcPr>
            <w:tcW w:w="940" w:type="dxa"/>
            <w:vAlign w:val="center"/>
          </w:tcPr>
          <w:p w14:paraId="7DC6D773">
            <w:pPr>
              <w:adjustRightInd w:val="0"/>
              <w:snapToGrid w:val="0"/>
              <w:jc w:val="center"/>
              <w:rPr>
                <w:rFonts w:ascii="宋体" w:hAnsi="宋体" w:eastAsia="宋体" w:cs="宋体"/>
                <w:color w:val="auto"/>
                <w:sz w:val="24"/>
                <w:highlight w:val="none"/>
              </w:rPr>
            </w:pPr>
          </w:p>
        </w:tc>
        <w:tc>
          <w:tcPr>
            <w:tcW w:w="1652" w:type="dxa"/>
            <w:vAlign w:val="center"/>
          </w:tcPr>
          <w:p w14:paraId="504457CE">
            <w:pPr>
              <w:adjustRightInd w:val="0"/>
              <w:snapToGrid w:val="0"/>
              <w:jc w:val="center"/>
              <w:rPr>
                <w:rFonts w:ascii="宋体" w:hAnsi="宋体" w:eastAsia="宋体" w:cs="宋体"/>
                <w:color w:val="auto"/>
                <w:sz w:val="24"/>
                <w:highlight w:val="none"/>
              </w:rPr>
            </w:pPr>
          </w:p>
        </w:tc>
        <w:tc>
          <w:tcPr>
            <w:tcW w:w="989" w:type="dxa"/>
            <w:vAlign w:val="center"/>
          </w:tcPr>
          <w:p w14:paraId="68E94B95">
            <w:pPr>
              <w:adjustRightInd w:val="0"/>
              <w:snapToGrid w:val="0"/>
              <w:jc w:val="center"/>
              <w:rPr>
                <w:rFonts w:ascii="宋体" w:hAnsi="宋体" w:eastAsia="宋体" w:cs="宋体"/>
                <w:color w:val="auto"/>
                <w:sz w:val="24"/>
                <w:highlight w:val="none"/>
              </w:rPr>
            </w:pPr>
          </w:p>
        </w:tc>
        <w:tc>
          <w:tcPr>
            <w:tcW w:w="2245" w:type="dxa"/>
            <w:vAlign w:val="center"/>
          </w:tcPr>
          <w:p w14:paraId="5905737C">
            <w:pPr>
              <w:adjustRightInd w:val="0"/>
              <w:snapToGrid w:val="0"/>
              <w:jc w:val="center"/>
              <w:rPr>
                <w:rFonts w:ascii="宋体" w:hAnsi="宋体" w:eastAsia="宋体" w:cs="宋体"/>
                <w:color w:val="auto"/>
                <w:sz w:val="24"/>
                <w:highlight w:val="none"/>
              </w:rPr>
            </w:pPr>
          </w:p>
        </w:tc>
        <w:tc>
          <w:tcPr>
            <w:tcW w:w="1127" w:type="dxa"/>
            <w:vAlign w:val="center"/>
          </w:tcPr>
          <w:p w14:paraId="412C4C84">
            <w:pPr>
              <w:adjustRightInd w:val="0"/>
              <w:snapToGrid w:val="0"/>
              <w:jc w:val="center"/>
              <w:rPr>
                <w:rFonts w:ascii="宋体" w:hAnsi="宋体" w:eastAsia="宋体" w:cs="宋体"/>
                <w:color w:val="auto"/>
                <w:sz w:val="24"/>
                <w:highlight w:val="none"/>
              </w:rPr>
            </w:pPr>
          </w:p>
        </w:tc>
        <w:tc>
          <w:tcPr>
            <w:tcW w:w="1127" w:type="dxa"/>
            <w:vAlign w:val="center"/>
          </w:tcPr>
          <w:p w14:paraId="5B803014">
            <w:pPr>
              <w:adjustRightInd w:val="0"/>
              <w:snapToGrid w:val="0"/>
              <w:jc w:val="center"/>
              <w:rPr>
                <w:rFonts w:ascii="宋体" w:hAnsi="宋体" w:eastAsia="宋体" w:cs="宋体"/>
                <w:color w:val="auto"/>
                <w:sz w:val="24"/>
                <w:highlight w:val="none"/>
              </w:rPr>
            </w:pPr>
          </w:p>
        </w:tc>
      </w:tr>
      <w:tr w14:paraId="1146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18433E46">
            <w:pPr>
              <w:adjustRightInd w:val="0"/>
              <w:snapToGrid w:val="0"/>
              <w:jc w:val="center"/>
              <w:rPr>
                <w:rFonts w:ascii="宋体" w:hAnsi="宋体" w:eastAsia="宋体" w:cs="宋体"/>
                <w:color w:val="auto"/>
                <w:sz w:val="24"/>
                <w:highlight w:val="none"/>
              </w:rPr>
            </w:pPr>
          </w:p>
        </w:tc>
        <w:tc>
          <w:tcPr>
            <w:tcW w:w="940" w:type="dxa"/>
            <w:vAlign w:val="center"/>
          </w:tcPr>
          <w:p w14:paraId="66B8B375">
            <w:pPr>
              <w:adjustRightInd w:val="0"/>
              <w:snapToGrid w:val="0"/>
              <w:jc w:val="center"/>
              <w:rPr>
                <w:rFonts w:ascii="宋体" w:hAnsi="宋体" w:eastAsia="宋体" w:cs="宋体"/>
                <w:color w:val="auto"/>
                <w:sz w:val="24"/>
                <w:highlight w:val="none"/>
              </w:rPr>
            </w:pPr>
          </w:p>
        </w:tc>
        <w:tc>
          <w:tcPr>
            <w:tcW w:w="1652" w:type="dxa"/>
            <w:vAlign w:val="center"/>
          </w:tcPr>
          <w:p w14:paraId="56C979E7">
            <w:pPr>
              <w:adjustRightInd w:val="0"/>
              <w:snapToGrid w:val="0"/>
              <w:jc w:val="center"/>
              <w:rPr>
                <w:rFonts w:ascii="宋体" w:hAnsi="宋体" w:eastAsia="宋体" w:cs="宋体"/>
                <w:color w:val="auto"/>
                <w:sz w:val="24"/>
                <w:highlight w:val="none"/>
              </w:rPr>
            </w:pPr>
          </w:p>
        </w:tc>
        <w:tc>
          <w:tcPr>
            <w:tcW w:w="989" w:type="dxa"/>
            <w:vAlign w:val="center"/>
          </w:tcPr>
          <w:p w14:paraId="0A566A10">
            <w:pPr>
              <w:adjustRightInd w:val="0"/>
              <w:snapToGrid w:val="0"/>
              <w:jc w:val="center"/>
              <w:rPr>
                <w:rFonts w:ascii="宋体" w:hAnsi="宋体" w:eastAsia="宋体" w:cs="宋体"/>
                <w:color w:val="auto"/>
                <w:sz w:val="24"/>
                <w:highlight w:val="none"/>
              </w:rPr>
            </w:pPr>
          </w:p>
        </w:tc>
        <w:tc>
          <w:tcPr>
            <w:tcW w:w="2245" w:type="dxa"/>
            <w:vAlign w:val="center"/>
          </w:tcPr>
          <w:p w14:paraId="302FA4CE">
            <w:pPr>
              <w:adjustRightInd w:val="0"/>
              <w:snapToGrid w:val="0"/>
              <w:jc w:val="center"/>
              <w:rPr>
                <w:rFonts w:ascii="宋体" w:hAnsi="宋体" w:eastAsia="宋体" w:cs="宋体"/>
                <w:color w:val="auto"/>
                <w:sz w:val="24"/>
                <w:highlight w:val="none"/>
              </w:rPr>
            </w:pPr>
          </w:p>
        </w:tc>
        <w:tc>
          <w:tcPr>
            <w:tcW w:w="1127" w:type="dxa"/>
            <w:vAlign w:val="center"/>
          </w:tcPr>
          <w:p w14:paraId="2ED24722">
            <w:pPr>
              <w:adjustRightInd w:val="0"/>
              <w:snapToGrid w:val="0"/>
              <w:jc w:val="center"/>
              <w:rPr>
                <w:rFonts w:ascii="宋体" w:hAnsi="宋体" w:eastAsia="宋体" w:cs="宋体"/>
                <w:color w:val="auto"/>
                <w:sz w:val="24"/>
                <w:highlight w:val="none"/>
              </w:rPr>
            </w:pPr>
          </w:p>
        </w:tc>
        <w:tc>
          <w:tcPr>
            <w:tcW w:w="1127" w:type="dxa"/>
            <w:vAlign w:val="center"/>
          </w:tcPr>
          <w:p w14:paraId="53FFA417">
            <w:pPr>
              <w:adjustRightInd w:val="0"/>
              <w:snapToGrid w:val="0"/>
              <w:jc w:val="center"/>
              <w:rPr>
                <w:rFonts w:ascii="宋体" w:hAnsi="宋体" w:eastAsia="宋体" w:cs="宋体"/>
                <w:color w:val="auto"/>
                <w:sz w:val="24"/>
                <w:highlight w:val="none"/>
              </w:rPr>
            </w:pPr>
          </w:p>
        </w:tc>
      </w:tr>
      <w:tr w14:paraId="0C90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66B7B3F9">
            <w:pPr>
              <w:adjustRightInd w:val="0"/>
              <w:snapToGrid w:val="0"/>
              <w:jc w:val="center"/>
              <w:rPr>
                <w:rFonts w:ascii="宋体" w:hAnsi="宋体" w:eastAsia="宋体" w:cs="宋体"/>
                <w:color w:val="auto"/>
                <w:sz w:val="24"/>
                <w:highlight w:val="none"/>
              </w:rPr>
            </w:pPr>
          </w:p>
        </w:tc>
        <w:tc>
          <w:tcPr>
            <w:tcW w:w="940" w:type="dxa"/>
            <w:vAlign w:val="center"/>
          </w:tcPr>
          <w:p w14:paraId="308041A2">
            <w:pPr>
              <w:adjustRightInd w:val="0"/>
              <w:snapToGrid w:val="0"/>
              <w:jc w:val="center"/>
              <w:rPr>
                <w:rFonts w:ascii="宋体" w:hAnsi="宋体" w:eastAsia="宋体" w:cs="宋体"/>
                <w:color w:val="auto"/>
                <w:sz w:val="24"/>
                <w:highlight w:val="none"/>
              </w:rPr>
            </w:pPr>
          </w:p>
        </w:tc>
        <w:tc>
          <w:tcPr>
            <w:tcW w:w="1652" w:type="dxa"/>
            <w:vAlign w:val="center"/>
          </w:tcPr>
          <w:p w14:paraId="4362A617">
            <w:pPr>
              <w:adjustRightInd w:val="0"/>
              <w:snapToGrid w:val="0"/>
              <w:jc w:val="center"/>
              <w:rPr>
                <w:rFonts w:ascii="宋体" w:hAnsi="宋体" w:eastAsia="宋体" w:cs="宋体"/>
                <w:color w:val="auto"/>
                <w:sz w:val="24"/>
                <w:highlight w:val="none"/>
              </w:rPr>
            </w:pPr>
          </w:p>
        </w:tc>
        <w:tc>
          <w:tcPr>
            <w:tcW w:w="989" w:type="dxa"/>
            <w:vAlign w:val="center"/>
          </w:tcPr>
          <w:p w14:paraId="3A8A89B6">
            <w:pPr>
              <w:adjustRightInd w:val="0"/>
              <w:snapToGrid w:val="0"/>
              <w:jc w:val="center"/>
              <w:rPr>
                <w:rFonts w:ascii="宋体" w:hAnsi="宋体" w:eastAsia="宋体" w:cs="宋体"/>
                <w:color w:val="auto"/>
                <w:sz w:val="24"/>
                <w:highlight w:val="none"/>
              </w:rPr>
            </w:pPr>
          </w:p>
        </w:tc>
        <w:tc>
          <w:tcPr>
            <w:tcW w:w="2245" w:type="dxa"/>
            <w:vAlign w:val="center"/>
          </w:tcPr>
          <w:p w14:paraId="6FD1DE49">
            <w:pPr>
              <w:adjustRightInd w:val="0"/>
              <w:snapToGrid w:val="0"/>
              <w:jc w:val="center"/>
              <w:rPr>
                <w:rFonts w:ascii="宋体" w:hAnsi="宋体" w:eastAsia="宋体" w:cs="宋体"/>
                <w:color w:val="auto"/>
                <w:sz w:val="24"/>
                <w:highlight w:val="none"/>
              </w:rPr>
            </w:pPr>
          </w:p>
        </w:tc>
        <w:tc>
          <w:tcPr>
            <w:tcW w:w="1127" w:type="dxa"/>
            <w:vAlign w:val="center"/>
          </w:tcPr>
          <w:p w14:paraId="6149882F">
            <w:pPr>
              <w:adjustRightInd w:val="0"/>
              <w:snapToGrid w:val="0"/>
              <w:jc w:val="center"/>
              <w:rPr>
                <w:rFonts w:ascii="宋体" w:hAnsi="宋体" w:eastAsia="宋体" w:cs="宋体"/>
                <w:color w:val="auto"/>
                <w:sz w:val="24"/>
                <w:highlight w:val="none"/>
              </w:rPr>
            </w:pPr>
          </w:p>
        </w:tc>
        <w:tc>
          <w:tcPr>
            <w:tcW w:w="1127" w:type="dxa"/>
            <w:vAlign w:val="center"/>
          </w:tcPr>
          <w:p w14:paraId="5CFA620B">
            <w:pPr>
              <w:adjustRightInd w:val="0"/>
              <w:snapToGrid w:val="0"/>
              <w:jc w:val="center"/>
              <w:rPr>
                <w:rFonts w:ascii="宋体" w:hAnsi="宋体" w:eastAsia="宋体" w:cs="宋体"/>
                <w:color w:val="auto"/>
                <w:sz w:val="24"/>
                <w:highlight w:val="none"/>
              </w:rPr>
            </w:pPr>
          </w:p>
        </w:tc>
      </w:tr>
      <w:tr w14:paraId="49AE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0F4A57C5">
            <w:pPr>
              <w:adjustRightInd w:val="0"/>
              <w:snapToGrid w:val="0"/>
              <w:jc w:val="center"/>
              <w:rPr>
                <w:rFonts w:ascii="宋体" w:hAnsi="宋体" w:eastAsia="宋体" w:cs="宋体"/>
                <w:color w:val="auto"/>
                <w:sz w:val="24"/>
                <w:highlight w:val="none"/>
              </w:rPr>
            </w:pPr>
          </w:p>
        </w:tc>
        <w:tc>
          <w:tcPr>
            <w:tcW w:w="940" w:type="dxa"/>
            <w:vAlign w:val="center"/>
          </w:tcPr>
          <w:p w14:paraId="3215E55A">
            <w:pPr>
              <w:adjustRightInd w:val="0"/>
              <w:snapToGrid w:val="0"/>
              <w:jc w:val="center"/>
              <w:rPr>
                <w:rFonts w:ascii="宋体" w:hAnsi="宋体" w:eastAsia="宋体" w:cs="宋体"/>
                <w:color w:val="auto"/>
                <w:sz w:val="24"/>
                <w:highlight w:val="none"/>
              </w:rPr>
            </w:pPr>
          </w:p>
        </w:tc>
        <w:tc>
          <w:tcPr>
            <w:tcW w:w="1652" w:type="dxa"/>
            <w:vAlign w:val="center"/>
          </w:tcPr>
          <w:p w14:paraId="0D0C7DCC">
            <w:pPr>
              <w:adjustRightInd w:val="0"/>
              <w:snapToGrid w:val="0"/>
              <w:jc w:val="center"/>
              <w:rPr>
                <w:rFonts w:ascii="宋体" w:hAnsi="宋体" w:eastAsia="宋体" w:cs="宋体"/>
                <w:color w:val="auto"/>
                <w:sz w:val="24"/>
                <w:highlight w:val="none"/>
              </w:rPr>
            </w:pPr>
          </w:p>
        </w:tc>
        <w:tc>
          <w:tcPr>
            <w:tcW w:w="989" w:type="dxa"/>
            <w:vAlign w:val="center"/>
          </w:tcPr>
          <w:p w14:paraId="3342B541">
            <w:pPr>
              <w:adjustRightInd w:val="0"/>
              <w:snapToGrid w:val="0"/>
              <w:jc w:val="center"/>
              <w:rPr>
                <w:rFonts w:ascii="宋体" w:hAnsi="宋体" w:eastAsia="宋体" w:cs="宋体"/>
                <w:color w:val="auto"/>
                <w:sz w:val="24"/>
                <w:highlight w:val="none"/>
              </w:rPr>
            </w:pPr>
          </w:p>
        </w:tc>
        <w:tc>
          <w:tcPr>
            <w:tcW w:w="2245" w:type="dxa"/>
            <w:vAlign w:val="center"/>
          </w:tcPr>
          <w:p w14:paraId="213056A8">
            <w:pPr>
              <w:adjustRightInd w:val="0"/>
              <w:snapToGrid w:val="0"/>
              <w:jc w:val="center"/>
              <w:rPr>
                <w:rFonts w:ascii="宋体" w:hAnsi="宋体" w:eastAsia="宋体" w:cs="宋体"/>
                <w:color w:val="auto"/>
                <w:sz w:val="24"/>
                <w:highlight w:val="none"/>
              </w:rPr>
            </w:pPr>
          </w:p>
        </w:tc>
        <w:tc>
          <w:tcPr>
            <w:tcW w:w="1127" w:type="dxa"/>
            <w:vAlign w:val="center"/>
          </w:tcPr>
          <w:p w14:paraId="56792EEA">
            <w:pPr>
              <w:adjustRightInd w:val="0"/>
              <w:snapToGrid w:val="0"/>
              <w:jc w:val="center"/>
              <w:rPr>
                <w:rFonts w:ascii="宋体" w:hAnsi="宋体" w:eastAsia="宋体" w:cs="宋体"/>
                <w:color w:val="auto"/>
                <w:sz w:val="24"/>
                <w:highlight w:val="none"/>
              </w:rPr>
            </w:pPr>
          </w:p>
        </w:tc>
        <w:tc>
          <w:tcPr>
            <w:tcW w:w="1127" w:type="dxa"/>
            <w:vAlign w:val="center"/>
          </w:tcPr>
          <w:p w14:paraId="0209B695">
            <w:pPr>
              <w:adjustRightInd w:val="0"/>
              <w:snapToGrid w:val="0"/>
              <w:jc w:val="center"/>
              <w:rPr>
                <w:rFonts w:ascii="宋体" w:hAnsi="宋体" w:eastAsia="宋体" w:cs="宋体"/>
                <w:color w:val="auto"/>
                <w:sz w:val="24"/>
                <w:highlight w:val="none"/>
              </w:rPr>
            </w:pPr>
          </w:p>
        </w:tc>
      </w:tr>
      <w:tr w14:paraId="7BFF0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35CF008C">
            <w:pPr>
              <w:adjustRightInd w:val="0"/>
              <w:snapToGrid w:val="0"/>
              <w:jc w:val="center"/>
              <w:rPr>
                <w:rFonts w:ascii="宋体" w:hAnsi="宋体" w:eastAsia="宋体" w:cs="宋体"/>
                <w:color w:val="auto"/>
                <w:sz w:val="24"/>
                <w:highlight w:val="none"/>
              </w:rPr>
            </w:pPr>
          </w:p>
        </w:tc>
        <w:tc>
          <w:tcPr>
            <w:tcW w:w="940" w:type="dxa"/>
            <w:vAlign w:val="center"/>
          </w:tcPr>
          <w:p w14:paraId="6154D9A4">
            <w:pPr>
              <w:adjustRightInd w:val="0"/>
              <w:snapToGrid w:val="0"/>
              <w:jc w:val="center"/>
              <w:rPr>
                <w:rFonts w:ascii="宋体" w:hAnsi="宋体" w:eastAsia="宋体" w:cs="宋体"/>
                <w:color w:val="auto"/>
                <w:sz w:val="24"/>
                <w:highlight w:val="none"/>
              </w:rPr>
            </w:pPr>
          </w:p>
        </w:tc>
        <w:tc>
          <w:tcPr>
            <w:tcW w:w="1652" w:type="dxa"/>
            <w:vAlign w:val="center"/>
          </w:tcPr>
          <w:p w14:paraId="0F2E602B">
            <w:pPr>
              <w:adjustRightInd w:val="0"/>
              <w:snapToGrid w:val="0"/>
              <w:jc w:val="center"/>
              <w:rPr>
                <w:rFonts w:ascii="宋体" w:hAnsi="宋体" w:eastAsia="宋体" w:cs="宋体"/>
                <w:color w:val="auto"/>
                <w:sz w:val="24"/>
                <w:highlight w:val="none"/>
              </w:rPr>
            </w:pPr>
          </w:p>
        </w:tc>
        <w:tc>
          <w:tcPr>
            <w:tcW w:w="989" w:type="dxa"/>
            <w:vAlign w:val="center"/>
          </w:tcPr>
          <w:p w14:paraId="012C0134">
            <w:pPr>
              <w:adjustRightInd w:val="0"/>
              <w:snapToGrid w:val="0"/>
              <w:jc w:val="center"/>
              <w:rPr>
                <w:rFonts w:ascii="宋体" w:hAnsi="宋体" w:eastAsia="宋体" w:cs="宋体"/>
                <w:color w:val="auto"/>
                <w:sz w:val="24"/>
                <w:highlight w:val="none"/>
              </w:rPr>
            </w:pPr>
          </w:p>
        </w:tc>
        <w:tc>
          <w:tcPr>
            <w:tcW w:w="2245" w:type="dxa"/>
            <w:vAlign w:val="center"/>
          </w:tcPr>
          <w:p w14:paraId="1036E87B">
            <w:pPr>
              <w:adjustRightInd w:val="0"/>
              <w:snapToGrid w:val="0"/>
              <w:jc w:val="center"/>
              <w:rPr>
                <w:rFonts w:ascii="宋体" w:hAnsi="宋体" w:eastAsia="宋体" w:cs="宋体"/>
                <w:color w:val="auto"/>
                <w:sz w:val="24"/>
                <w:highlight w:val="none"/>
              </w:rPr>
            </w:pPr>
          </w:p>
        </w:tc>
        <w:tc>
          <w:tcPr>
            <w:tcW w:w="1127" w:type="dxa"/>
            <w:vAlign w:val="center"/>
          </w:tcPr>
          <w:p w14:paraId="25818031">
            <w:pPr>
              <w:adjustRightInd w:val="0"/>
              <w:snapToGrid w:val="0"/>
              <w:jc w:val="center"/>
              <w:rPr>
                <w:rFonts w:ascii="宋体" w:hAnsi="宋体" w:eastAsia="宋体" w:cs="宋体"/>
                <w:color w:val="auto"/>
                <w:sz w:val="24"/>
                <w:highlight w:val="none"/>
              </w:rPr>
            </w:pPr>
          </w:p>
        </w:tc>
        <w:tc>
          <w:tcPr>
            <w:tcW w:w="1127" w:type="dxa"/>
            <w:vAlign w:val="center"/>
          </w:tcPr>
          <w:p w14:paraId="741F9E0B">
            <w:pPr>
              <w:adjustRightInd w:val="0"/>
              <w:snapToGrid w:val="0"/>
              <w:jc w:val="center"/>
              <w:rPr>
                <w:rFonts w:ascii="宋体" w:hAnsi="宋体" w:eastAsia="宋体" w:cs="宋体"/>
                <w:color w:val="auto"/>
                <w:sz w:val="24"/>
                <w:highlight w:val="none"/>
              </w:rPr>
            </w:pPr>
          </w:p>
        </w:tc>
      </w:tr>
      <w:tr w14:paraId="54E5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014BF059">
            <w:pPr>
              <w:adjustRightInd w:val="0"/>
              <w:snapToGrid w:val="0"/>
              <w:jc w:val="center"/>
              <w:rPr>
                <w:rFonts w:ascii="宋体" w:hAnsi="宋体" w:eastAsia="宋体" w:cs="宋体"/>
                <w:color w:val="auto"/>
                <w:sz w:val="24"/>
                <w:highlight w:val="none"/>
              </w:rPr>
            </w:pPr>
          </w:p>
        </w:tc>
        <w:tc>
          <w:tcPr>
            <w:tcW w:w="940" w:type="dxa"/>
            <w:vAlign w:val="center"/>
          </w:tcPr>
          <w:p w14:paraId="595036A9">
            <w:pPr>
              <w:adjustRightInd w:val="0"/>
              <w:snapToGrid w:val="0"/>
              <w:jc w:val="center"/>
              <w:rPr>
                <w:rFonts w:ascii="宋体" w:hAnsi="宋体" w:eastAsia="宋体" w:cs="宋体"/>
                <w:color w:val="auto"/>
                <w:sz w:val="24"/>
                <w:highlight w:val="none"/>
              </w:rPr>
            </w:pPr>
          </w:p>
        </w:tc>
        <w:tc>
          <w:tcPr>
            <w:tcW w:w="1652" w:type="dxa"/>
            <w:vAlign w:val="center"/>
          </w:tcPr>
          <w:p w14:paraId="754DD14D">
            <w:pPr>
              <w:adjustRightInd w:val="0"/>
              <w:snapToGrid w:val="0"/>
              <w:jc w:val="center"/>
              <w:rPr>
                <w:rFonts w:ascii="宋体" w:hAnsi="宋体" w:eastAsia="宋体" w:cs="宋体"/>
                <w:color w:val="auto"/>
                <w:sz w:val="24"/>
                <w:highlight w:val="none"/>
              </w:rPr>
            </w:pPr>
          </w:p>
        </w:tc>
        <w:tc>
          <w:tcPr>
            <w:tcW w:w="989" w:type="dxa"/>
            <w:vAlign w:val="center"/>
          </w:tcPr>
          <w:p w14:paraId="45636F75">
            <w:pPr>
              <w:adjustRightInd w:val="0"/>
              <w:snapToGrid w:val="0"/>
              <w:jc w:val="center"/>
              <w:rPr>
                <w:rFonts w:ascii="宋体" w:hAnsi="宋体" w:eastAsia="宋体" w:cs="宋体"/>
                <w:color w:val="auto"/>
                <w:sz w:val="24"/>
                <w:highlight w:val="none"/>
              </w:rPr>
            </w:pPr>
          </w:p>
        </w:tc>
        <w:tc>
          <w:tcPr>
            <w:tcW w:w="2245" w:type="dxa"/>
            <w:vAlign w:val="center"/>
          </w:tcPr>
          <w:p w14:paraId="12B7B858">
            <w:pPr>
              <w:adjustRightInd w:val="0"/>
              <w:snapToGrid w:val="0"/>
              <w:jc w:val="center"/>
              <w:rPr>
                <w:rFonts w:ascii="宋体" w:hAnsi="宋体" w:eastAsia="宋体" w:cs="宋体"/>
                <w:color w:val="auto"/>
                <w:sz w:val="24"/>
                <w:highlight w:val="none"/>
              </w:rPr>
            </w:pPr>
          </w:p>
        </w:tc>
        <w:tc>
          <w:tcPr>
            <w:tcW w:w="1127" w:type="dxa"/>
            <w:vAlign w:val="center"/>
          </w:tcPr>
          <w:p w14:paraId="2D27BD78">
            <w:pPr>
              <w:adjustRightInd w:val="0"/>
              <w:snapToGrid w:val="0"/>
              <w:jc w:val="center"/>
              <w:rPr>
                <w:rFonts w:ascii="宋体" w:hAnsi="宋体" w:eastAsia="宋体" w:cs="宋体"/>
                <w:color w:val="auto"/>
                <w:sz w:val="24"/>
                <w:highlight w:val="none"/>
              </w:rPr>
            </w:pPr>
          </w:p>
        </w:tc>
        <w:tc>
          <w:tcPr>
            <w:tcW w:w="1127" w:type="dxa"/>
            <w:vAlign w:val="center"/>
          </w:tcPr>
          <w:p w14:paraId="689C7298">
            <w:pPr>
              <w:adjustRightInd w:val="0"/>
              <w:snapToGrid w:val="0"/>
              <w:jc w:val="center"/>
              <w:rPr>
                <w:rFonts w:ascii="宋体" w:hAnsi="宋体" w:eastAsia="宋体" w:cs="宋体"/>
                <w:color w:val="auto"/>
                <w:sz w:val="24"/>
                <w:highlight w:val="none"/>
              </w:rPr>
            </w:pPr>
          </w:p>
        </w:tc>
      </w:tr>
      <w:tr w14:paraId="15C34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72676A4C">
            <w:pPr>
              <w:adjustRightInd w:val="0"/>
              <w:snapToGrid w:val="0"/>
              <w:jc w:val="center"/>
              <w:rPr>
                <w:rFonts w:ascii="宋体" w:hAnsi="宋体" w:eastAsia="宋体" w:cs="宋体"/>
                <w:color w:val="auto"/>
                <w:sz w:val="24"/>
                <w:highlight w:val="none"/>
              </w:rPr>
            </w:pPr>
          </w:p>
        </w:tc>
        <w:tc>
          <w:tcPr>
            <w:tcW w:w="940" w:type="dxa"/>
            <w:vAlign w:val="center"/>
          </w:tcPr>
          <w:p w14:paraId="0465EBBC">
            <w:pPr>
              <w:adjustRightInd w:val="0"/>
              <w:snapToGrid w:val="0"/>
              <w:jc w:val="center"/>
              <w:rPr>
                <w:rFonts w:ascii="宋体" w:hAnsi="宋体" w:eastAsia="宋体" w:cs="宋体"/>
                <w:color w:val="auto"/>
                <w:sz w:val="24"/>
                <w:highlight w:val="none"/>
              </w:rPr>
            </w:pPr>
          </w:p>
        </w:tc>
        <w:tc>
          <w:tcPr>
            <w:tcW w:w="1652" w:type="dxa"/>
            <w:vAlign w:val="center"/>
          </w:tcPr>
          <w:p w14:paraId="5511442B">
            <w:pPr>
              <w:adjustRightInd w:val="0"/>
              <w:snapToGrid w:val="0"/>
              <w:jc w:val="center"/>
              <w:rPr>
                <w:rFonts w:ascii="宋体" w:hAnsi="宋体" w:eastAsia="宋体" w:cs="宋体"/>
                <w:color w:val="auto"/>
                <w:sz w:val="24"/>
                <w:highlight w:val="none"/>
              </w:rPr>
            </w:pPr>
          </w:p>
        </w:tc>
        <w:tc>
          <w:tcPr>
            <w:tcW w:w="989" w:type="dxa"/>
            <w:vAlign w:val="center"/>
          </w:tcPr>
          <w:p w14:paraId="1270FA4B">
            <w:pPr>
              <w:adjustRightInd w:val="0"/>
              <w:snapToGrid w:val="0"/>
              <w:jc w:val="center"/>
              <w:rPr>
                <w:rFonts w:ascii="宋体" w:hAnsi="宋体" w:eastAsia="宋体" w:cs="宋体"/>
                <w:color w:val="auto"/>
                <w:sz w:val="24"/>
                <w:highlight w:val="none"/>
              </w:rPr>
            </w:pPr>
          </w:p>
        </w:tc>
        <w:tc>
          <w:tcPr>
            <w:tcW w:w="2245" w:type="dxa"/>
            <w:vAlign w:val="center"/>
          </w:tcPr>
          <w:p w14:paraId="133ECC77">
            <w:pPr>
              <w:adjustRightInd w:val="0"/>
              <w:snapToGrid w:val="0"/>
              <w:jc w:val="center"/>
              <w:rPr>
                <w:rFonts w:ascii="宋体" w:hAnsi="宋体" w:eastAsia="宋体" w:cs="宋体"/>
                <w:color w:val="auto"/>
                <w:sz w:val="24"/>
                <w:highlight w:val="none"/>
              </w:rPr>
            </w:pPr>
          </w:p>
        </w:tc>
        <w:tc>
          <w:tcPr>
            <w:tcW w:w="1127" w:type="dxa"/>
            <w:vAlign w:val="center"/>
          </w:tcPr>
          <w:p w14:paraId="6B36B410">
            <w:pPr>
              <w:adjustRightInd w:val="0"/>
              <w:snapToGrid w:val="0"/>
              <w:jc w:val="center"/>
              <w:rPr>
                <w:rFonts w:ascii="宋体" w:hAnsi="宋体" w:eastAsia="宋体" w:cs="宋体"/>
                <w:color w:val="auto"/>
                <w:sz w:val="24"/>
                <w:highlight w:val="none"/>
              </w:rPr>
            </w:pPr>
          </w:p>
        </w:tc>
        <w:tc>
          <w:tcPr>
            <w:tcW w:w="1127" w:type="dxa"/>
            <w:vAlign w:val="center"/>
          </w:tcPr>
          <w:p w14:paraId="2CA6CAEA">
            <w:pPr>
              <w:adjustRightInd w:val="0"/>
              <w:snapToGrid w:val="0"/>
              <w:jc w:val="center"/>
              <w:rPr>
                <w:rFonts w:ascii="宋体" w:hAnsi="宋体" w:eastAsia="宋体" w:cs="宋体"/>
                <w:color w:val="auto"/>
                <w:sz w:val="24"/>
                <w:highlight w:val="none"/>
              </w:rPr>
            </w:pPr>
          </w:p>
        </w:tc>
      </w:tr>
      <w:tr w14:paraId="3486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0039F494">
            <w:pPr>
              <w:adjustRightInd w:val="0"/>
              <w:snapToGrid w:val="0"/>
              <w:jc w:val="center"/>
              <w:rPr>
                <w:rFonts w:ascii="宋体" w:hAnsi="宋体" w:eastAsia="宋体" w:cs="宋体"/>
                <w:color w:val="auto"/>
                <w:sz w:val="24"/>
                <w:highlight w:val="none"/>
              </w:rPr>
            </w:pPr>
          </w:p>
        </w:tc>
        <w:tc>
          <w:tcPr>
            <w:tcW w:w="940" w:type="dxa"/>
            <w:vAlign w:val="center"/>
          </w:tcPr>
          <w:p w14:paraId="4A687A00">
            <w:pPr>
              <w:adjustRightInd w:val="0"/>
              <w:snapToGrid w:val="0"/>
              <w:jc w:val="center"/>
              <w:rPr>
                <w:rFonts w:ascii="宋体" w:hAnsi="宋体" w:eastAsia="宋体" w:cs="宋体"/>
                <w:color w:val="auto"/>
                <w:sz w:val="24"/>
                <w:highlight w:val="none"/>
              </w:rPr>
            </w:pPr>
          </w:p>
        </w:tc>
        <w:tc>
          <w:tcPr>
            <w:tcW w:w="1652" w:type="dxa"/>
            <w:vAlign w:val="center"/>
          </w:tcPr>
          <w:p w14:paraId="251D4099">
            <w:pPr>
              <w:adjustRightInd w:val="0"/>
              <w:snapToGrid w:val="0"/>
              <w:jc w:val="center"/>
              <w:rPr>
                <w:rFonts w:ascii="宋体" w:hAnsi="宋体" w:eastAsia="宋体" w:cs="宋体"/>
                <w:color w:val="auto"/>
                <w:sz w:val="24"/>
                <w:highlight w:val="none"/>
              </w:rPr>
            </w:pPr>
          </w:p>
        </w:tc>
        <w:tc>
          <w:tcPr>
            <w:tcW w:w="989" w:type="dxa"/>
            <w:vAlign w:val="center"/>
          </w:tcPr>
          <w:p w14:paraId="6E43F356">
            <w:pPr>
              <w:adjustRightInd w:val="0"/>
              <w:snapToGrid w:val="0"/>
              <w:jc w:val="center"/>
              <w:rPr>
                <w:rFonts w:ascii="宋体" w:hAnsi="宋体" w:eastAsia="宋体" w:cs="宋体"/>
                <w:color w:val="auto"/>
                <w:sz w:val="24"/>
                <w:highlight w:val="none"/>
              </w:rPr>
            </w:pPr>
          </w:p>
        </w:tc>
        <w:tc>
          <w:tcPr>
            <w:tcW w:w="2245" w:type="dxa"/>
            <w:vAlign w:val="center"/>
          </w:tcPr>
          <w:p w14:paraId="3FDB2E91">
            <w:pPr>
              <w:adjustRightInd w:val="0"/>
              <w:snapToGrid w:val="0"/>
              <w:jc w:val="center"/>
              <w:rPr>
                <w:rFonts w:ascii="宋体" w:hAnsi="宋体" w:eastAsia="宋体" w:cs="宋体"/>
                <w:color w:val="auto"/>
                <w:sz w:val="24"/>
                <w:highlight w:val="none"/>
              </w:rPr>
            </w:pPr>
          </w:p>
        </w:tc>
        <w:tc>
          <w:tcPr>
            <w:tcW w:w="1127" w:type="dxa"/>
            <w:vAlign w:val="center"/>
          </w:tcPr>
          <w:p w14:paraId="5696421F">
            <w:pPr>
              <w:adjustRightInd w:val="0"/>
              <w:snapToGrid w:val="0"/>
              <w:jc w:val="center"/>
              <w:rPr>
                <w:rFonts w:ascii="宋体" w:hAnsi="宋体" w:eastAsia="宋体" w:cs="宋体"/>
                <w:color w:val="auto"/>
                <w:sz w:val="24"/>
                <w:highlight w:val="none"/>
              </w:rPr>
            </w:pPr>
          </w:p>
        </w:tc>
        <w:tc>
          <w:tcPr>
            <w:tcW w:w="1127" w:type="dxa"/>
            <w:vAlign w:val="center"/>
          </w:tcPr>
          <w:p w14:paraId="5D738A1C">
            <w:pPr>
              <w:adjustRightInd w:val="0"/>
              <w:snapToGrid w:val="0"/>
              <w:jc w:val="center"/>
              <w:rPr>
                <w:rFonts w:ascii="宋体" w:hAnsi="宋体" w:eastAsia="宋体" w:cs="宋体"/>
                <w:color w:val="auto"/>
                <w:sz w:val="24"/>
                <w:highlight w:val="none"/>
              </w:rPr>
            </w:pPr>
          </w:p>
        </w:tc>
      </w:tr>
      <w:tr w14:paraId="7CEC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1ABCB979">
            <w:pPr>
              <w:adjustRightInd w:val="0"/>
              <w:snapToGrid w:val="0"/>
              <w:jc w:val="center"/>
              <w:rPr>
                <w:rFonts w:ascii="宋体" w:hAnsi="宋体" w:eastAsia="宋体" w:cs="宋体"/>
                <w:color w:val="auto"/>
                <w:sz w:val="24"/>
                <w:highlight w:val="none"/>
              </w:rPr>
            </w:pPr>
          </w:p>
        </w:tc>
        <w:tc>
          <w:tcPr>
            <w:tcW w:w="940" w:type="dxa"/>
            <w:vAlign w:val="center"/>
          </w:tcPr>
          <w:p w14:paraId="55240723">
            <w:pPr>
              <w:adjustRightInd w:val="0"/>
              <w:snapToGrid w:val="0"/>
              <w:jc w:val="center"/>
              <w:rPr>
                <w:rFonts w:ascii="宋体" w:hAnsi="宋体" w:eastAsia="宋体" w:cs="宋体"/>
                <w:color w:val="auto"/>
                <w:sz w:val="24"/>
                <w:highlight w:val="none"/>
              </w:rPr>
            </w:pPr>
          </w:p>
        </w:tc>
        <w:tc>
          <w:tcPr>
            <w:tcW w:w="1652" w:type="dxa"/>
            <w:vAlign w:val="center"/>
          </w:tcPr>
          <w:p w14:paraId="62329BAF">
            <w:pPr>
              <w:adjustRightInd w:val="0"/>
              <w:snapToGrid w:val="0"/>
              <w:jc w:val="center"/>
              <w:rPr>
                <w:rFonts w:ascii="宋体" w:hAnsi="宋体" w:eastAsia="宋体" w:cs="宋体"/>
                <w:color w:val="auto"/>
                <w:sz w:val="24"/>
                <w:highlight w:val="none"/>
              </w:rPr>
            </w:pPr>
          </w:p>
        </w:tc>
        <w:tc>
          <w:tcPr>
            <w:tcW w:w="989" w:type="dxa"/>
            <w:vAlign w:val="center"/>
          </w:tcPr>
          <w:p w14:paraId="4A8B7DD6">
            <w:pPr>
              <w:adjustRightInd w:val="0"/>
              <w:snapToGrid w:val="0"/>
              <w:jc w:val="center"/>
              <w:rPr>
                <w:rFonts w:ascii="宋体" w:hAnsi="宋体" w:eastAsia="宋体" w:cs="宋体"/>
                <w:color w:val="auto"/>
                <w:sz w:val="24"/>
                <w:highlight w:val="none"/>
              </w:rPr>
            </w:pPr>
          </w:p>
        </w:tc>
        <w:tc>
          <w:tcPr>
            <w:tcW w:w="2245" w:type="dxa"/>
            <w:vAlign w:val="center"/>
          </w:tcPr>
          <w:p w14:paraId="64675ED8">
            <w:pPr>
              <w:adjustRightInd w:val="0"/>
              <w:snapToGrid w:val="0"/>
              <w:jc w:val="center"/>
              <w:rPr>
                <w:rFonts w:ascii="宋体" w:hAnsi="宋体" w:eastAsia="宋体" w:cs="宋体"/>
                <w:color w:val="auto"/>
                <w:sz w:val="24"/>
                <w:highlight w:val="none"/>
              </w:rPr>
            </w:pPr>
          </w:p>
        </w:tc>
        <w:tc>
          <w:tcPr>
            <w:tcW w:w="1127" w:type="dxa"/>
            <w:vAlign w:val="center"/>
          </w:tcPr>
          <w:p w14:paraId="6CAE7815">
            <w:pPr>
              <w:adjustRightInd w:val="0"/>
              <w:snapToGrid w:val="0"/>
              <w:jc w:val="center"/>
              <w:rPr>
                <w:rFonts w:ascii="宋体" w:hAnsi="宋体" w:eastAsia="宋体" w:cs="宋体"/>
                <w:color w:val="auto"/>
                <w:sz w:val="24"/>
                <w:highlight w:val="none"/>
              </w:rPr>
            </w:pPr>
          </w:p>
        </w:tc>
        <w:tc>
          <w:tcPr>
            <w:tcW w:w="1127" w:type="dxa"/>
            <w:vAlign w:val="center"/>
          </w:tcPr>
          <w:p w14:paraId="7C41A1E1">
            <w:pPr>
              <w:adjustRightInd w:val="0"/>
              <w:snapToGrid w:val="0"/>
              <w:jc w:val="center"/>
              <w:rPr>
                <w:rFonts w:ascii="宋体" w:hAnsi="宋体" w:eastAsia="宋体" w:cs="宋体"/>
                <w:color w:val="auto"/>
                <w:sz w:val="24"/>
                <w:highlight w:val="none"/>
              </w:rPr>
            </w:pPr>
          </w:p>
        </w:tc>
      </w:tr>
      <w:tr w14:paraId="12BF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7" w:type="dxa"/>
            <w:vAlign w:val="center"/>
          </w:tcPr>
          <w:p w14:paraId="0CF150B7">
            <w:pPr>
              <w:adjustRightInd w:val="0"/>
              <w:snapToGrid w:val="0"/>
              <w:jc w:val="center"/>
              <w:rPr>
                <w:rFonts w:ascii="宋体" w:hAnsi="宋体" w:eastAsia="宋体" w:cs="宋体"/>
                <w:color w:val="auto"/>
                <w:sz w:val="24"/>
                <w:highlight w:val="none"/>
              </w:rPr>
            </w:pPr>
          </w:p>
        </w:tc>
        <w:tc>
          <w:tcPr>
            <w:tcW w:w="940" w:type="dxa"/>
            <w:vAlign w:val="center"/>
          </w:tcPr>
          <w:p w14:paraId="20B230DC">
            <w:pPr>
              <w:adjustRightInd w:val="0"/>
              <w:snapToGrid w:val="0"/>
              <w:jc w:val="center"/>
              <w:rPr>
                <w:rFonts w:ascii="宋体" w:hAnsi="宋体" w:eastAsia="宋体" w:cs="宋体"/>
                <w:color w:val="auto"/>
                <w:sz w:val="24"/>
                <w:highlight w:val="none"/>
              </w:rPr>
            </w:pPr>
          </w:p>
        </w:tc>
        <w:tc>
          <w:tcPr>
            <w:tcW w:w="1652" w:type="dxa"/>
            <w:vAlign w:val="center"/>
          </w:tcPr>
          <w:p w14:paraId="6F091A1F">
            <w:pPr>
              <w:adjustRightInd w:val="0"/>
              <w:snapToGrid w:val="0"/>
              <w:jc w:val="center"/>
              <w:rPr>
                <w:rFonts w:ascii="宋体" w:hAnsi="宋体" w:eastAsia="宋体" w:cs="宋体"/>
                <w:color w:val="auto"/>
                <w:sz w:val="24"/>
                <w:highlight w:val="none"/>
              </w:rPr>
            </w:pPr>
          </w:p>
        </w:tc>
        <w:tc>
          <w:tcPr>
            <w:tcW w:w="989" w:type="dxa"/>
            <w:vAlign w:val="center"/>
          </w:tcPr>
          <w:p w14:paraId="4B3C0BED">
            <w:pPr>
              <w:adjustRightInd w:val="0"/>
              <w:snapToGrid w:val="0"/>
              <w:jc w:val="center"/>
              <w:rPr>
                <w:rFonts w:ascii="宋体" w:hAnsi="宋体" w:eastAsia="宋体" w:cs="宋体"/>
                <w:color w:val="auto"/>
                <w:sz w:val="24"/>
                <w:highlight w:val="none"/>
              </w:rPr>
            </w:pPr>
          </w:p>
        </w:tc>
        <w:tc>
          <w:tcPr>
            <w:tcW w:w="2245" w:type="dxa"/>
            <w:vAlign w:val="center"/>
          </w:tcPr>
          <w:p w14:paraId="59A255E4">
            <w:pPr>
              <w:adjustRightInd w:val="0"/>
              <w:snapToGrid w:val="0"/>
              <w:jc w:val="center"/>
              <w:rPr>
                <w:rFonts w:ascii="宋体" w:hAnsi="宋体" w:eastAsia="宋体" w:cs="宋体"/>
                <w:color w:val="auto"/>
                <w:sz w:val="24"/>
                <w:highlight w:val="none"/>
              </w:rPr>
            </w:pPr>
          </w:p>
        </w:tc>
        <w:tc>
          <w:tcPr>
            <w:tcW w:w="1127" w:type="dxa"/>
            <w:vAlign w:val="center"/>
          </w:tcPr>
          <w:p w14:paraId="43C60104">
            <w:pPr>
              <w:adjustRightInd w:val="0"/>
              <w:snapToGrid w:val="0"/>
              <w:jc w:val="center"/>
              <w:rPr>
                <w:rFonts w:ascii="宋体" w:hAnsi="宋体" w:eastAsia="宋体" w:cs="宋体"/>
                <w:color w:val="auto"/>
                <w:sz w:val="24"/>
                <w:highlight w:val="none"/>
              </w:rPr>
            </w:pPr>
          </w:p>
        </w:tc>
        <w:tc>
          <w:tcPr>
            <w:tcW w:w="1127" w:type="dxa"/>
            <w:vAlign w:val="center"/>
          </w:tcPr>
          <w:p w14:paraId="1E21D397">
            <w:pPr>
              <w:adjustRightInd w:val="0"/>
              <w:snapToGrid w:val="0"/>
              <w:jc w:val="center"/>
              <w:rPr>
                <w:rFonts w:ascii="宋体" w:hAnsi="宋体" w:eastAsia="宋体" w:cs="宋体"/>
                <w:color w:val="auto"/>
                <w:sz w:val="24"/>
                <w:highlight w:val="none"/>
              </w:rPr>
            </w:pPr>
          </w:p>
        </w:tc>
      </w:tr>
      <w:tr w14:paraId="008D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77" w:type="dxa"/>
            <w:vAlign w:val="center"/>
          </w:tcPr>
          <w:p w14:paraId="4837A9F3">
            <w:pPr>
              <w:adjustRightInd w:val="0"/>
              <w:snapToGrid w:val="0"/>
              <w:jc w:val="center"/>
              <w:rPr>
                <w:rFonts w:ascii="宋体" w:hAnsi="宋体" w:eastAsia="宋体" w:cs="宋体"/>
                <w:color w:val="auto"/>
                <w:sz w:val="24"/>
                <w:highlight w:val="none"/>
              </w:rPr>
            </w:pPr>
          </w:p>
        </w:tc>
        <w:tc>
          <w:tcPr>
            <w:tcW w:w="940" w:type="dxa"/>
            <w:vAlign w:val="center"/>
          </w:tcPr>
          <w:p w14:paraId="1A7FADFD">
            <w:pPr>
              <w:adjustRightInd w:val="0"/>
              <w:snapToGrid w:val="0"/>
              <w:jc w:val="center"/>
              <w:rPr>
                <w:rFonts w:ascii="宋体" w:hAnsi="宋体" w:eastAsia="宋体" w:cs="宋体"/>
                <w:color w:val="auto"/>
                <w:sz w:val="24"/>
                <w:highlight w:val="none"/>
              </w:rPr>
            </w:pPr>
          </w:p>
        </w:tc>
        <w:tc>
          <w:tcPr>
            <w:tcW w:w="1652" w:type="dxa"/>
            <w:vAlign w:val="center"/>
          </w:tcPr>
          <w:p w14:paraId="2F428D2A">
            <w:pPr>
              <w:adjustRightInd w:val="0"/>
              <w:snapToGrid w:val="0"/>
              <w:jc w:val="center"/>
              <w:rPr>
                <w:rFonts w:ascii="宋体" w:hAnsi="宋体" w:eastAsia="宋体" w:cs="宋体"/>
                <w:color w:val="auto"/>
                <w:sz w:val="24"/>
                <w:highlight w:val="none"/>
              </w:rPr>
            </w:pPr>
          </w:p>
        </w:tc>
        <w:tc>
          <w:tcPr>
            <w:tcW w:w="989" w:type="dxa"/>
            <w:vAlign w:val="center"/>
          </w:tcPr>
          <w:p w14:paraId="272E5E53">
            <w:pPr>
              <w:adjustRightInd w:val="0"/>
              <w:snapToGrid w:val="0"/>
              <w:jc w:val="center"/>
              <w:rPr>
                <w:rFonts w:ascii="宋体" w:hAnsi="宋体" w:eastAsia="宋体" w:cs="宋体"/>
                <w:color w:val="auto"/>
                <w:sz w:val="24"/>
                <w:highlight w:val="none"/>
              </w:rPr>
            </w:pPr>
          </w:p>
        </w:tc>
        <w:tc>
          <w:tcPr>
            <w:tcW w:w="2245" w:type="dxa"/>
            <w:vAlign w:val="center"/>
          </w:tcPr>
          <w:p w14:paraId="38E5565E">
            <w:pPr>
              <w:adjustRightInd w:val="0"/>
              <w:snapToGrid w:val="0"/>
              <w:jc w:val="center"/>
              <w:rPr>
                <w:rFonts w:ascii="宋体" w:hAnsi="宋体" w:eastAsia="宋体" w:cs="宋体"/>
                <w:color w:val="auto"/>
                <w:sz w:val="24"/>
                <w:highlight w:val="none"/>
              </w:rPr>
            </w:pPr>
          </w:p>
        </w:tc>
        <w:tc>
          <w:tcPr>
            <w:tcW w:w="1127" w:type="dxa"/>
            <w:vAlign w:val="center"/>
          </w:tcPr>
          <w:p w14:paraId="512F212D">
            <w:pPr>
              <w:adjustRightInd w:val="0"/>
              <w:snapToGrid w:val="0"/>
              <w:jc w:val="center"/>
              <w:rPr>
                <w:rFonts w:ascii="宋体" w:hAnsi="宋体" w:eastAsia="宋体" w:cs="宋体"/>
                <w:color w:val="auto"/>
                <w:sz w:val="24"/>
                <w:highlight w:val="none"/>
              </w:rPr>
            </w:pPr>
          </w:p>
        </w:tc>
        <w:tc>
          <w:tcPr>
            <w:tcW w:w="1127" w:type="dxa"/>
            <w:vAlign w:val="center"/>
          </w:tcPr>
          <w:p w14:paraId="18188AB3">
            <w:pPr>
              <w:adjustRightInd w:val="0"/>
              <w:snapToGrid w:val="0"/>
              <w:jc w:val="center"/>
              <w:rPr>
                <w:rFonts w:ascii="宋体" w:hAnsi="宋体" w:eastAsia="宋体" w:cs="宋体"/>
                <w:color w:val="auto"/>
                <w:sz w:val="24"/>
                <w:highlight w:val="none"/>
              </w:rPr>
            </w:pPr>
          </w:p>
        </w:tc>
      </w:tr>
    </w:tbl>
    <w:p w14:paraId="579436DE">
      <w:pPr>
        <w:adjustRightInd w:val="0"/>
        <w:snapToGrid w:val="0"/>
        <w:spacing w:line="360" w:lineRule="auto"/>
        <w:jc w:val="left"/>
        <w:rPr>
          <w:rFonts w:ascii="宋体" w:hAnsi="宋体" w:eastAsia="宋体" w:cs="宋体"/>
          <w:color w:val="auto"/>
          <w:sz w:val="24"/>
          <w:highlight w:val="none"/>
        </w:rPr>
      </w:pPr>
    </w:p>
    <w:p w14:paraId="6C09C926">
      <w:pPr>
        <w:adjustRightInd w:val="0"/>
        <w:snapToGrid w:val="0"/>
        <w:spacing w:line="360" w:lineRule="auto"/>
        <w:ind w:firstLine="464"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注：1、请</w:t>
      </w:r>
      <w:r>
        <w:rPr>
          <w:rFonts w:hint="eastAsia" w:ascii="宋体" w:hAnsi="宋体" w:eastAsia="宋体" w:cs="宋体"/>
          <w:color w:val="auto"/>
          <w:sz w:val="24"/>
          <w:highlight w:val="none"/>
          <w:lang w:val="en-GB"/>
        </w:rPr>
        <w:t>投标人在“是否响应”栏内根据响应情况填写“满足、或负偏离、或正偏离”，负偏离或正偏离请在“偏离说明”栏内扼要说明偏离情况。</w:t>
      </w:r>
    </w:p>
    <w:p w14:paraId="4E76AEB0">
      <w:pPr>
        <w:adjustRightInd w:val="0"/>
        <w:snapToGrid w:val="0"/>
        <w:spacing w:line="360" w:lineRule="auto"/>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2、若投标人未提供或未填写本表，均视作完全响应招标文件要求。</w:t>
      </w:r>
    </w:p>
    <w:p w14:paraId="3A1887C1">
      <w:pPr>
        <w:adjustRightInd w:val="0"/>
        <w:snapToGrid w:val="0"/>
        <w:spacing w:line="360" w:lineRule="auto"/>
        <w:ind w:firstLine="464" w:firstLineChars="200"/>
        <w:rPr>
          <w:rFonts w:ascii="宋体" w:hAnsi="宋体" w:eastAsia="宋体" w:cs="宋体"/>
          <w:color w:val="auto"/>
          <w:sz w:val="24"/>
          <w:highlight w:val="none"/>
        </w:rPr>
      </w:pPr>
    </w:p>
    <w:p w14:paraId="5A1CCD94">
      <w:pPr>
        <w:adjustRightInd w:val="0"/>
        <w:snapToGrid w:val="0"/>
        <w:spacing w:line="360" w:lineRule="auto"/>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投标人（盖公章）：</w:t>
      </w:r>
    </w:p>
    <w:p w14:paraId="1E079822">
      <w:pPr>
        <w:adjustRightInd w:val="0"/>
        <w:snapToGrid w:val="0"/>
        <w:spacing w:line="360" w:lineRule="auto"/>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法定代表人（负责人）或其委托代理人（签字或盖章）：</w:t>
      </w:r>
    </w:p>
    <w:p w14:paraId="24642360">
      <w:pPr>
        <w:pStyle w:val="51"/>
        <w:adjustRightInd w:val="0"/>
        <w:snapToGrid w:val="0"/>
        <w:spacing w:line="360" w:lineRule="auto"/>
        <w:ind w:firstLine="464" w:firstLineChars="200"/>
        <w:rPr>
          <w:rFonts w:hAnsi="宋体" w:cs="宋体"/>
          <w:color w:val="auto"/>
          <w:sz w:val="24"/>
          <w:szCs w:val="24"/>
          <w:highlight w:val="none"/>
        </w:rPr>
      </w:pPr>
      <w:r>
        <w:rPr>
          <w:rFonts w:hint="eastAsia" w:hAnsi="宋体" w:cs="宋体"/>
          <w:snapToGrid w:val="0"/>
          <w:color w:val="auto"/>
          <w:sz w:val="24"/>
          <w:szCs w:val="24"/>
          <w:highlight w:val="none"/>
        </w:rPr>
        <w:t>日期：</w:t>
      </w:r>
      <w:r>
        <w:rPr>
          <w:rFonts w:hint="eastAsia" w:hAnsi="宋体" w:cs="宋体"/>
          <w:color w:val="auto"/>
          <w:sz w:val="24"/>
          <w:szCs w:val="24"/>
          <w:highlight w:val="none"/>
        </w:rPr>
        <w:t xml:space="preserve">      年    月    日</w:t>
      </w:r>
    </w:p>
    <w:p w14:paraId="30ADD73E">
      <w:pPr>
        <w:pStyle w:val="51"/>
        <w:adjustRightInd w:val="0"/>
        <w:snapToGrid w:val="0"/>
        <w:spacing w:line="360" w:lineRule="auto"/>
        <w:rPr>
          <w:rFonts w:hAnsi="宋体" w:cs="宋体"/>
          <w:color w:val="auto"/>
          <w:sz w:val="24"/>
          <w:szCs w:val="24"/>
          <w:highlight w:val="none"/>
        </w:rPr>
      </w:pPr>
    </w:p>
    <w:p w14:paraId="1827364D">
      <w:pPr>
        <w:pStyle w:val="33"/>
        <w:rPr>
          <w:rFonts w:ascii="宋体" w:hAnsi="宋体" w:cs="宋体"/>
          <w:color w:val="auto"/>
          <w:sz w:val="24"/>
          <w:szCs w:val="24"/>
          <w:highlight w:val="none"/>
        </w:rPr>
      </w:pPr>
      <w:r>
        <w:rPr>
          <w:rFonts w:hint="eastAsia" w:ascii="宋体" w:hAnsi="宋体" w:cs="宋体"/>
          <w:color w:val="auto"/>
          <w:sz w:val="24"/>
          <w:szCs w:val="24"/>
          <w:highlight w:val="none"/>
        </w:rPr>
        <w:br w:type="page"/>
      </w:r>
    </w:p>
    <w:p w14:paraId="335AD41B">
      <w:pPr>
        <w:pStyle w:val="5"/>
        <w:jc w:val="center"/>
        <w:rPr>
          <w:rFonts w:cs="宋体"/>
          <w:bCs w:val="0"/>
          <w:color w:val="auto"/>
          <w:sz w:val="24"/>
          <w:szCs w:val="24"/>
          <w:highlight w:val="none"/>
          <w:lang w:val="zh-CN"/>
        </w:rPr>
      </w:pPr>
      <w:r>
        <w:rPr>
          <w:rFonts w:hint="eastAsia" w:cs="宋体"/>
          <w:bCs w:val="0"/>
          <w:color w:val="auto"/>
          <w:sz w:val="24"/>
          <w:szCs w:val="24"/>
          <w:highlight w:val="none"/>
        </w:rPr>
        <w:t>五、</w:t>
      </w:r>
      <w:r>
        <w:rPr>
          <w:rFonts w:hint="eastAsia" w:cs="宋体"/>
          <w:bCs w:val="0"/>
          <w:color w:val="auto"/>
          <w:sz w:val="24"/>
          <w:szCs w:val="24"/>
          <w:highlight w:val="none"/>
          <w:lang w:val="zh-CN"/>
        </w:rPr>
        <w:t>优惠条件及特殊承诺</w:t>
      </w:r>
    </w:p>
    <w:p w14:paraId="3E87E920">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（由投标人根据招标需求自行编制）</w:t>
      </w:r>
    </w:p>
    <w:p w14:paraId="7F0737E1">
      <w:pPr>
        <w:spacing w:line="360" w:lineRule="auto"/>
        <w:jc w:val="center"/>
        <w:rPr>
          <w:rFonts w:ascii="宋体" w:hAnsi="宋体" w:eastAsia="宋体" w:cs="宋体"/>
          <w:color w:val="auto"/>
          <w:sz w:val="24"/>
          <w:highlight w:val="none"/>
        </w:rPr>
      </w:pPr>
    </w:p>
    <w:p w14:paraId="52F7A8F9">
      <w:pPr>
        <w:pStyle w:val="13"/>
        <w:spacing w:line="360" w:lineRule="auto"/>
        <w:rPr>
          <w:rFonts w:hAnsi="宋体" w:cs="宋体"/>
          <w:color w:val="auto"/>
          <w:sz w:val="24"/>
          <w:szCs w:val="24"/>
          <w:highlight w:val="none"/>
        </w:rPr>
      </w:pPr>
    </w:p>
    <w:p w14:paraId="021A4A94">
      <w:pPr>
        <w:pStyle w:val="13"/>
        <w:spacing w:line="360" w:lineRule="auto"/>
        <w:rPr>
          <w:rFonts w:hAnsi="宋体" w:cs="宋体"/>
          <w:color w:val="auto"/>
          <w:sz w:val="24"/>
          <w:szCs w:val="24"/>
          <w:highlight w:val="none"/>
        </w:rPr>
      </w:pPr>
    </w:p>
    <w:p w14:paraId="45ABB561">
      <w:pPr>
        <w:pStyle w:val="13"/>
        <w:spacing w:line="360" w:lineRule="auto"/>
        <w:rPr>
          <w:rFonts w:hAnsi="宋体" w:cs="宋体"/>
          <w:color w:val="auto"/>
          <w:sz w:val="24"/>
          <w:szCs w:val="24"/>
          <w:highlight w:val="none"/>
        </w:rPr>
      </w:pPr>
    </w:p>
    <w:p w14:paraId="675A2B1F">
      <w:pPr>
        <w:pStyle w:val="13"/>
        <w:spacing w:line="360" w:lineRule="auto"/>
        <w:rPr>
          <w:rFonts w:hAnsi="宋体" w:cs="宋体"/>
          <w:color w:val="auto"/>
          <w:sz w:val="24"/>
          <w:szCs w:val="24"/>
          <w:highlight w:val="none"/>
        </w:rPr>
      </w:pPr>
    </w:p>
    <w:p w14:paraId="09352FCA">
      <w:pPr>
        <w:pStyle w:val="13"/>
        <w:spacing w:line="360" w:lineRule="auto"/>
        <w:rPr>
          <w:rFonts w:hAnsi="宋体" w:cs="宋体"/>
          <w:color w:val="auto"/>
          <w:sz w:val="24"/>
          <w:szCs w:val="24"/>
          <w:highlight w:val="none"/>
        </w:rPr>
      </w:pPr>
    </w:p>
    <w:p w14:paraId="5876FE98">
      <w:pPr>
        <w:pStyle w:val="13"/>
        <w:spacing w:line="360" w:lineRule="auto"/>
        <w:rPr>
          <w:rFonts w:hAnsi="宋体" w:cs="宋体"/>
          <w:color w:val="auto"/>
          <w:sz w:val="24"/>
          <w:szCs w:val="24"/>
          <w:highlight w:val="none"/>
        </w:rPr>
      </w:pPr>
    </w:p>
    <w:p w14:paraId="6811FF7B">
      <w:pPr>
        <w:pStyle w:val="13"/>
        <w:spacing w:line="360" w:lineRule="auto"/>
        <w:rPr>
          <w:rFonts w:hAnsi="宋体" w:cs="宋体"/>
          <w:color w:val="auto"/>
          <w:sz w:val="24"/>
          <w:szCs w:val="24"/>
          <w:highlight w:val="none"/>
        </w:rPr>
      </w:pPr>
    </w:p>
    <w:p w14:paraId="158311F7">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投标人（盖公章）：</w:t>
      </w:r>
    </w:p>
    <w:p w14:paraId="6054E301">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法定代表人</w:t>
      </w:r>
      <w:r>
        <w:rPr>
          <w:rFonts w:hint="eastAsia" w:hAnsi="宋体" w:cs="宋体"/>
          <w:snapToGrid w:val="0"/>
          <w:color w:val="auto"/>
          <w:sz w:val="24"/>
          <w:szCs w:val="24"/>
          <w:highlight w:val="none"/>
        </w:rPr>
        <w:t>（负责人）</w:t>
      </w:r>
      <w:r>
        <w:rPr>
          <w:rFonts w:hint="eastAsia" w:hAnsi="宋体" w:cs="宋体"/>
          <w:color w:val="auto"/>
          <w:sz w:val="24"/>
          <w:szCs w:val="24"/>
          <w:highlight w:val="none"/>
        </w:rPr>
        <w:t>或其委托代理人（签字或盖章）：</w:t>
      </w:r>
    </w:p>
    <w:p w14:paraId="339598FF">
      <w:pPr>
        <w:pStyle w:val="52"/>
        <w:adjustRightInd w:val="0"/>
        <w:snapToGrid w:val="0"/>
        <w:spacing w:line="360" w:lineRule="auto"/>
        <w:rPr>
          <w:rFonts w:hAnsi="宋体" w:cs="宋体"/>
          <w:color w:val="auto"/>
          <w:sz w:val="24"/>
          <w:highlight w:val="none"/>
        </w:rPr>
      </w:pPr>
      <w:r>
        <w:rPr>
          <w:rFonts w:hint="eastAsia" w:hAnsi="宋体" w:cs="宋体"/>
          <w:snapToGrid w:val="0"/>
          <w:color w:val="auto"/>
          <w:sz w:val="24"/>
          <w:highlight w:val="none"/>
        </w:rPr>
        <w:t>日期：</w:t>
      </w:r>
      <w:r>
        <w:rPr>
          <w:rFonts w:hint="eastAsia" w:hAnsi="宋体" w:cs="宋体"/>
          <w:color w:val="auto"/>
          <w:sz w:val="24"/>
          <w:highlight w:val="none"/>
        </w:rPr>
        <w:t>年    月    日</w:t>
      </w:r>
    </w:p>
    <w:p w14:paraId="0D1B3D3D">
      <w:pPr>
        <w:snapToGrid w:val="0"/>
        <w:spacing w:line="360" w:lineRule="auto"/>
        <w:jc w:val="center"/>
        <w:outlineLvl w:val="1"/>
        <w:rPr>
          <w:rFonts w:ascii="宋体" w:hAnsi="宋体" w:eastAsia="宋体" w:cs="宋体"/>
          <w:b/>
          <w:bCs/>
          <w:color w:val="auto"/>
          <w:sz w:val="24"/>
          <w:highlight w:val="none"/>
        </w:rPr>
      </w:pPr>
    </w:p>
    <w:p w14:paraId="69091564">
      <w:pPr>
        <w:rPr>
          <w:rFonts w:ascii="宋体" w:hAnsi="宋体" w:eastAsia="宋体" w:cs="宋体"/>
          <w:color w:val="auto"/>
          <w:sz w:val="24"/>
          <w:highlight w:val="none"/>
          <w:lang w:val="zh-CN"/>
        </w:rPr>
      </w:pPr>
      <w:r>
        <w:rPr>
          <w:rFonts w:hint="eastAsia" w:ascii="宋体" w:hAnsi="宋体" w:eastAsia="宋体" w:cs="宋体"/>
          <w:color w:val="auto"/>
          <w:sz w:val="24"/>
          <w:highlight w:val="none"/>
        </w:rPr>
        <w:br w:type="page"/>
      </w:r>
    </w:p>
    <w:p w14:paraId="1C867B11">
      <w:pPr>
        <w:pStyle w:val="5"/>
        <w:rPr>
          <w:rFonts w:cs="宋体"/>
          <w:color w:val="auto"/>
          <w:sz w:val="24"/>
          <w:szCs w:val="24"/>
          <w:highlight w:val="none"/>
        </w:rPr>
      </w:pPr>
      <w:r>
        <w:rPr>
          <w:rFonts w:hint="eastAsia" w:cs="宋体"/>
          <w:color w:val="auto"/>
          <w:sz w:val="24"/>
          <w:szCs w:val="24"/>
          <w:highlight w:val="none"/>
        </w:rPr>
        <w:t>第三部分、资信文件</w:t>
      </w:r>
      <w:bookmarkEnd w:id="101"/>
      <w:bookmarkEnd w:id="102"/>
    </w:p>
    <w:p w14:paraId="6E2BF791">
      <w:pPr>
        <w:pStyle w:val="5"/>
        <w:jc w:val="center"/>
        <w:rPr>
          <w:rFonts w:cs="宋体"/>
          <w:color w:val="auto"/>
          <w:sz w:val="24"/>
          <w:szCs w:val="24"/>
          <w:highlight w:val="none"/>
        </w:rPr>
      </w:pPr>
      <w:bookmarkStart w:id="103" w:name="_Toc31736"/>
      <w:r>
        <w:rPr>
          <w:rFonts w:hint="eastAsia" w:cs="宋体"/>
          <w:color w:val="auto"/>
          <w:sz w:val="24"/>
          <w:szCs w:val="24"/>
          <w:highlight w:val="none"/>
        </w:rPr>
        <w:t>一、投标人基本情况表</w:t>
      </w:r>
      <w:bookmarkEnd w:id="103"/>
    </w:p>
    <w:tbl>
      <w:tblPr>
        <w:tblStyle w:val="25"/>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74"/>
        <w:gridCol w:w="80"/>
        <w:gridCol w:w="1660"/>
        <w:gridCol w:w="957"/>
        <w:gridCol w:w="957"/>
        <w:gridCol w:w="846"/>
        <w:gridCol w:w="1068"/>
        <w:gridCol w:w="1802"/>
      </w:tblGrid>
      <w:tr w14:paraId="5F9C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27C55EF4">
            <w:pPr>
              <w:pStyle w:val="51"/>
              <w:rPr>
                <w:rFonts w:hAnsi="宋体" w:cs="宋体"/>
                <w:color w:val="auto"/>
                <w:sz w:val="24"/>
                <w:szCs w:val="24"/>
                <w:highlight w:val="none"/>
              </w:rPr>
            </w:pPr>
            <w:r>
              <w:rPr>
                <w:rFonts w:hint="eastAsia" w:hAnsi="宋体" w:cs="宋体"/>
                <w:color w:val="auto"/>
                <w:sz w:val="24"/>
                <w:szCs w:val="24"/>
                <w:highlight w:val="none"/>
              </w:rPr>
              <w:t>投标人名称</w:t>
            </w:r>
          </w:p>
        </w:tc>
        <w:tc>
          <w:tcPr>
            <w:tcW w:w="7370" w:type="dxa"/>
            <w:gridSpan w:val="7"/>
            <w:vAlign w:val="center"/>
          </w:tcPr>
          <w:p w14:paraId="59D8720F">
            <w:pPr>
              <w:pStyle w:val="51"/>
              <w:rPr>
                <w:rFonts w:hAnsi="宋体" w:cs="宋体"/>
                <w:color w:val="auto"/>
                <w:sz w:val="24"/>
                <w:szCs w:val="24"/>
                <w:highlight w:val="none"/>
              </w:rPr>
            </w:pPr>
          </w:p>
        </w:tc>
      </w:tr>
      <w:tr w14:paraId="66A1F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12A1DCD8">
            <w:pPr>
              <w:pStyle w:val="51"/>
              <w:rPr>
                <w:rFonts w:hAnsi="宋体" w:cs="宋体"/>
                <w:b/>
                <w:color w:val="auto"/>
                <w:sz w:val="24"/>
                <w:szCs w:val="24"/>
                <w:highlight w:val="none"/>
              </w:rPr>
            </w:pPr>
            <w:r>
              <w:rPr>
                <w:rFonts w:hint="eastAsia" w:hAnsi="宋体" w:cs="宋体"/>
                <w:b/>
                <w:color w:val="auto"/>
                <w:sz w:val="24"/>
                <w:szCs w:val="24"/>
                <w:highlight w:val="none"/>
              </w:rPr>
              <w:t>营业执照（事业单位法人证书等）</w:t>
            </w:r>
          </w:p>
        </w:tc>
      </w:tr>
      <w:tr w14:paraId="2593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6E0E304D">
            <w:pPr>
              <w:pStyle w:val="51"/>
              <w:rPr>
                <w:rFonts w:hAnsi="宋体" w:cs="宋体"/>
                <w:color w:val="auto"/>
                <w:sz w:val="24"/>
                <w:szCs w:val="24"/>
                <w:highlight w:val="none"/>
              </w:rPr>
            </w:pPr>
            <w:r>
              <w:rPr>
                <w:rFonts w:hint="eastAsia" w:hAnsi="宋体" w:cs="宋体"/>
                <w:color w:val="auto"/>
                <w:sz w:val="24"/>
                <w:szCs w:val="24"/>
                <w:highlight w:val="none"/>
              </w:rPr>
              <w:t>统一社会信用代码</w:t>
            </w:r>
          </w:p>
        </w:tc>
        <w:tc>
          <w:tcPr>
            <w:tcW w:w="2697" w:type="dxa"/>
            <w:gridSpan w:val="3"/>
            <w:vAlign w:val="center"/>
          </w:tcPr>
          <w:p w14:paraId="315FEEDD">
            <w:pPr>
              <w:pStyle w:val="51"/>
              <w:rPr>
                <w:rFonts w:hAnsi="宋体" w:cs="宋体"/>
                <w:color w:val="auto"/>
                <w:sz w:val="24"/>
                <w:szCs w:val="24"/>
                <w:highlight w:val="none"/>
              </w:rPr>
            </w:pPr>
          </w:p>
        </w:tc>
        <w:tc>
          <w:tcPr>
            <w:tcW w:w="1803" w:type="dxa"/>
            <w:gridSpan w:val="2"/>
            <w:vAlign w:val="center"/>
          </w:tcPr>
          <w:p w14:paraId="485B558C">
            <w:pPr>
              <w:pStyle w:val="51"/>
              <w:rPr>
                <w:rFonts w:hAnsi="宋体" w:cs="宋体"/>
                <w:color w:val="auto"/>
                <w:sz w:val="24"/>
                <w:szCs w:val="24"/>
                <w:highlight w:val="none"/>
              </w:rPr>
            </w:pPr>
            <w:r>
              <w:rPr>
                <w:rFonts w:hint="eastAsia" w:hAnsi="宋体" w:cs="宋体"/>
                <w:color w:val="auto"/>
                <w:sz w:val="24"/>
                <w:szCs w:val="24"/>
                <w:highlight w:val="none"/>
              </w:rPr>
              <w:t>注册资本</w:t>
            </w:r>
          </w:p>
        </w:tc>
        <w:tc>
          <w:tcPr>
            <w:tcW w:w="2870" w:type="dxa"/>
            <w:gridSpan w:val="2"/>
            <w:vAlign w:val="center"/>
          </w:tcPr>
          <w:p w14:paraId="72EDBDB7">
            <w:pPr>
              <w:pStyle w:val="51"/>
              <w:rPr>
                <w:rFonts w:hAnsi="宋体" w:cs="宋体"/>
                <w:color w:val="auto"/>
                <w:sz w:val="24"/>
                <w:szCs w:val="24"/>
                <w:highlight w:val="none"/>
              </w:rPr>
            </w:pPr>
          </w:p>
        </w:tc>
      </w:tr>
      <w:tr w14:paraId="0AF7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38989FCB">
            <w:pPr>
              <w:pStyle w:val="51"/>
              <w:rPr>
                <w:rFonts w:hAnsi="宋体" w:cs="宋体"/>
                <w:color w:val="auto"/>
                <w:sz w:val="24"/>
                <w:szCs w:val="24"/>
                <w:highlight w:val="none"/>
              </w:rPr>
            </w:pPr>
            <w:r>
              <w:rPr>
                <w:rFonts w:hint="eastAsia" w:hAnsi="宋体" w:cs="宋体"/>
                <w:color w:val="auto"/>
                <w:sz w:val="24"/>
                <w:szCs w:val="24"/>
                <w:highlight w:val="none"/>
              </w:rPr>
              <w:t>发照机关</w:t>
            </w:r>
          </w:p>
        </w:tc>
        <w:tc>
          <w:tcPr>
            <w:tcW w:w="2697" w:type="dxa"/>
            <w:gridSpan w:val="3"/>
            <w:vAlign w:val="center"/>
          </w:tcPr>
          <w:p w14:paraId="523705AA">
            <w:pPr>
              <w:pStyle w:val="51"/>
              <w:rPr>
                <w:rFonts w:hAnsi="宋体" w:cs="宋体"/>
                <w:color w:val="auto"/>
                <w:sz w:val="24"/>
                <w:szCs w:val="24"/>
                <w:highlight w:val="none"/>
              </w:rPr>
            </w:pPr>
          </w:p>
        </w:tc>
        <w:tc>
          <w:tcPr>
            <w:tcW w:w="1803" w:type="dxa"/>
            <w:gridSpan w:val="2"/>
            <w:vAlign w:val="center"/>
          </w:tcPr>
          <w:p w14:paraId="23E11936">
            <w:pPr>
              <w:pStyle w:val="51"/>
              <w:rPr>
                <w:rFonts w:hAnsi="宋体" w:cs="宋体"/>
                <w:color w:val="auto"/>
                <w:sz w:val="24"/>
                <w:szCs w:val="24"/>
                <w:highlight w:val="none"/>
              </w:rPr>
            </w:pPr>
            <w:r>
              <w:rPr>
                <w:rFonts w:hint="eastAsia" w:hAnsi="宋体" w:cs="宋体"/>
                <w:color w:val="auto"/>
                <w:sz w:val="24"/>
                <w:szCs w:val="24"/>
                <w:highlight w:val="none"/>
              </w:rPr>
              <w:t>注册地址</w:t>
            </w:r>
          </w:p>
        </w:tc>
        <w:tc>
          <w:tcPr>
            <w:tcW w:w="2870" w:type="dxa"/>
            <w:gridSpan w:val="2"/>
            <w:vAlign w:val="center"/>
          </w:tcPr>
          <w:p w14:paraId="0D90E6EA">
            <w:pPr>
              <w:pStyle w:val="51"/>
              <w:rPr>
                <w:rFonts w:hAnsi="宋体" w:cs="宋体"/>
                <w:color w:val="auto"/>
                <w:sz w:val="24"/>
                <w:szCs w:val="24"/>
                <w:highlight w:val="none"/>
              </w:rPr>
            </w:pPr>
          </w:p>
        </w:tc>
      </w:tr>
      <w:tr w14:paraId="01E4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4EF5DBC4">
            <w:pPr>
              <w:pStyle w:val="51"/>
              <w:rPr>
                <w:rFonts w:hAnsi="宋体" w:cs="宋体"/>
                <w:color w:val="auto"/>
                <w:sz w:val="24"/>
                <w:szCs w:val="24"/>
                <w:highlight w:val="none"/>
              </w:rPr>
            </w:pPr>
            <w:r>
              <w:rPr>
                <w:rFonts w:hint="eastAsia" w:hAnsi="宋体" w:cs="宋体"/>
                <w:color w:val="auto"/>
                <w:sz w:val="24"/>
                <w:szCs w:val="24"/>
                <w:highlight w:val="none"/>
              </w:rPr>
              <w:t>成立时间</w:t>
            </w:r>
          </w:p>
        </w:tc>
        <w:tc>
          <w:tcPr>
            <w:tcW w:w="2697" w:type="dxa"/>
            <w:gridSpan w:val="3"/>
            <w:vAlign w:val="center"/>
          </w:tcPr>
          <w:p w14:paraId="48FCDE85">
            <w:pPr>
              <w:pStyle w:val="51"/>
              <w:rPr>
                <w:rFonts w:hAnsi="宋体" w:cs="宋体"/>
                <w:color w:val="auto"/>
                <w:sz w:val="24"/>
                <w:szCs w:val="24"/>
                <w:highlight w:val="none"/>
              </w:rPr>
            </w:pPr>
          </w:p>
        </w:tc>
        <w:tc>
          <w:tcPr>
            <w:tcW w:w="1803" w:type="dxa"/>
            <w:gridSpan w:val="2"/>
            <w:vAlign w:val="center"/>
          </w:tcPr>
          <w:p w14:paraId="27F178DF">
            <w:pPr>
              <w:pStyle w:val="51"/>
              <w:rPr>
                <w:rFonts w:hAnsi="宋体" w:cs="宋体"/>
                <w:color w:val="auto"/>
                <w:sz w:val="24"/>
                <w:szCs w:val="24"/>
                <w:highlight w:val="none"/>
              </w:rPr>
            </w:pPr>
            <w:r>
              <w:rPr>
                <w:rFonts w:hint="eastAsia" w:hAnsi="宋体" w:cs="宋体"/>
                <w:color w:val="auto"/>
                <w:sz w:val="24"/>
                <w:szCs w:val="24"/>
                <w:highlight w:val="none"/>
              </w:rPr>
              <w:t>单位性质</w:t>
            </w:r>
          </w:p>
        </w:tc>
        <w:tc>
          <w:tcPr>
            <w:tcW w:w="2870" w:type="dxa"/>
            <w:gridSpan w:val="2"/>
            <w:vAlign w:val="center"/>
          </w:tcPr>
          <w:p w14:paraId="75B6D3B5">
            <w:pPr>
              <w:pStyle w:val="51"/>
              <w:rPr>
                <w:rFonts w:hAnsi="宋体" w:cs="宋体"/>
                <w:color w:val="auto"/>
                <w:sz w:val="24"/>
                <w:szCs w:val="24"/>
                <w:highlight w:val="none"/>
              </w:rPr>
            </w:pPr>
          </w:p>
        </w:tc>
      </w:tr>
      <w:tr w14:paraId="1D13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3E8C6F61">
            <w:pPr>
              <w:pStyle w:val="51"/>
              <w:rPr>
                <w:rFonts w:hAnsi="宋体" w:cs="宋体"/>
                <w:color w:val="auto"/>
                <w:sz w:val="24"/>
                <w:szCs w:val="24"/>
                <w:highlight w:val="none"/>
              </w:rPr>
            </w:pPr>
            <w:r>
              <w:rPr>
                <w:rFonts w:hint="eastAsia" w:hAnsi="宋体" w:cs="宋体"/>
                <w:color w:val="auto"/>
                <w:sz w:val="24"/>
                <w:szCs w:val="24"/>
                <w:highlight w:val="none"/>
              </w:rPr>
              <w:t>经营范围</w:t>
            </w:r>
          </w:p>
        </w:tc>
        <w:tc>
          <w:tcPr>
            <w:tcW w:w="7370" w:type="dxa"/>
            <w:gridSpan w:val="7"/>
            <w:vAlign w:val="center"/>
          </w:tcPr>
          <w:p w14:paraId="2C99A320">
            <w:pPr>
              <w:pStyle w:val="51"/>
              <w:rPr>
                <w:rFonts w:hAnsi="宋体" w:cs="宋体"/>
                <w:color w:val="auto"/>
                <w:sz w:val="24"/>
                <w:szCs w:val="24"/>
                <w:highlight w:val="none"/>
              </w:rPr>
            </w:pPr>
          </w:p>
        </w:tc>
      </w:tr>
      <w:tr w14:paraId="49EF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1AB9188A">
            <w:pPr>
              <w:pStyle w:val="51"/>
              <w:rPr>
                <w:rFonts w:hAnsi="宋体" w:cs="宋体"/>
                <w:b/>
                <w:color w:val="auto"/>
                <w:sz w:val="24"/>
                <w:szCs w:val="24"/>
                <w:highlight w:val="none"/>
              </w:rPr>
            </w:pPr>
            <w:r>
              <w:rPr>
                <w:rFonts w:hint="eastAsia" w:hAnsi="宋体" w:cs="宋体"/>
                <w:b/>
                <w:color w:val="auto"/>
                <w:sz w:val="24"/>
                <w:szCs w:val="24"/>
                <w:highlight w:val="none"/>
              </w:rPr>
              <w:t>单位资质</w:t>
            </w:r>
          </w:p>
        </w:tc>
      </w:tr>
      <w:tr w14:paraId="55486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762356EB">
            <w:pPr>
              <w:pStyle w:val="51"/>
              <w:rPr>
                <w:rFonts w:hAnsi="宋体" w:cs="宋体"/>
                <w:color w:val="auto"/>
                <w:sz w:val="24"/>
                <w:szCs w:val="24"/>
                <w:highlight w:val="none"/>
              </w:rPr>
            </w:pPr>
            <w:r>
              <w:rPr>
                <w:rFonts w:hint="eastAsia" w:hAnsi="宋体" w:cs="宋体"/>
                <w:color w:val="auto"/>
                <w:sz w:val="24"/>
                <w:szCs w:val="24"/>
                <w:highlight w:val="none"/>
              </w:rPr>
              <w:t>单位资质等级</w:t>
            </w:r>
          </w:p>
        </w:tc>
        <w:tc>
          <w:tcPr>
            <w:tcW w:w="2697" w:type="dxa"/>
            <w:gridSpan w:val="3"/>
            <w:vAlign w:val="center"/>
          </w:tcPr>
          <w:p w14:paraId="44CA5C79">
            <w:pPr>
              <w:pStyle w:val="51"/>
              <w:rPr>
                <w:rFonts w:hAnsi="宋体" w:cs="宋体"/>
                <w:color w:val="auto"/>
                <w:sz w:val="24"/>
                <w:szCs w:val="24"/>
                <w:highlight w:val="none"/>
              </w:rPr>
            </w:pPr>
          </w:p>
        </w:tc>
        <w:tc>
          <w:tcPr>
            <w:tcW w:w="1803" w:type="dxa"/>
            <w:gridSpan w:val="2"/>
            <w:vAlign w:val="center"/>
          </w:tcPr>
          <w:p w14:paraId="224A6567">
            <w:pPr>
              <w:pStyle w:val="51"/>
              <w:rPr>
                <w:rFonts w:hAnsi="宋体" w:cs="宋体"/>
                <w:color w:val="auto"/>
                <w:sz w:val="24"/>
                <w:szCs w:val="24"/>
                <w:highlight w:val="none"/>
              </w:rPr>
            </w:pPr>
            <w:r>
              <w:rPr>
                <w:rFonts w:hint="eastAsia" w:hAnsi="宋体" w:cs="宋体"/>
                <w:color w:val="auto"/>
                <w:sz w:val="24"/>
                <w:szCs w:val="24"/>
                <w:highlight w:val="none"/>
              </w:rPr>
              <w:t>证书编号</w:t>
            </w:r>
          </w:p>
        </w:tc>
        <w:tc>
          <w:tcPr>
            <w:tcW w:w="2870" w:type="dxa"/>
            <w:gridSpan w:val="2"/>
            <w:vAlign w:val="center"/>
          </w:tcPr>
          <w:p w14:paraId="1B20D2EC">
            <w:pPr>
              <w:pStyle w:val="51"/>
              <w:rPr>
                <w:rFonts w:hAnsi="宋体" w:cs="宋体"/>
                <w:color w:val="auto"/>
                <w:sz w:val="24"/>
                <w:szCs w:val="24"/>
                <w:highlight w:val="none"/>
              </w:rPr>
            </w:pPr>
          </w:p>
        </w:tc>
      </w:tr>
      <w:tr w14:paraId="501D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088" w:type="dxa"/>
            <w:gridSpan w:val="2"/>
            <w:vAlign w:val="center"/>
          </w:tcPr>
          <w:p w14:paraId="56529C18">
            <w:pPr>
              <w:pStyle w:val="51"/>
              <w:rPr>
                <w:rFonts w:hAnsi="宋体" w:cs="宋体"/>
                <w:color w:val="auto"/>
                <w:sz w:val="24"/>
                <w:szCs w:val="24"/>
                <w:highlight w:val="none"/>
              </w:rPr>
            </w:pPr>
            <w:r>
              <w:rPr>
                <w:rFonts w:hint="eastAsia" w:hAnsi="宋体" w:cs="宋体"/>
                <w:color w:val="auto"/>
                <w:sz w:val="24"/>
                <w:szCs w:val="24"/>
                <w:highlight w:val="none"/>
              </w:rPr>
              <w:t>发证机关</w:t>
            </w:r>
          </w:p>
        </w:tc>
        <w:tc>
          <w:tcPr>
            <w:tcW w:w="2697" w:type="dxa"/>
            <w:gridSpan w:val="3"/>
            <w:vAlign w:val="center"/>
          </w:tcPr>
          <w:p w14:paraId="3A3B3470">
            <w:pPr>
              <w:pStyle w:val="51"/>
              <w:rPr>
                <w:rFonts w:hAnsi="宋体" w:cs="宋体"/>
                <w:color w:val="auto"/>
                <w:sz w:val="24"/>
                <w:szCs w:val="24"/>
                <w:highlight w:val="none"/>
              </w:rPr>
            </w:pPr>
          </w:p>
        </w:tc>
        <w:tc>
          <w:tcPr>
            <w:tcW w:w="1803" w:type="dxa"/>
            <w:gridSpan w:val="2"/>
            <w:vAlign w:val="center"/>
          </w:tcPr>
          <w:p w14:paraId="0C577FDD">
            <w:pPr>
              <w:pStyle w:val="51"/>
              <w:rPr>
                <w:rFonts w:hAnsi="宋体" w:cs="宋体"/>
                <w:color w:val="auto"/>
                <w:sz w:val="24"/>
                <w:szCs w:val="24"/>
                <w:highlight w:val="none"/>
              </w:rPr>
            </w:pPr>
            <w:r>
              <w:rPr>
                <w:rFonts w:hint="eastAsia" w:hAnsi="宋体" w:cs="宋体"/>
                <w:color w:val="auto"/>
                <w:sz w:val="24"/>
                <w:szCs w:val="24"/>
                <w:highlight w:val="none"/>
              </w:rPr>
              <w:t>业务范围</w:t>
            </w:r>
          </w:p>
        </w:tc>
        <w:tc>
          <w:tcPr>
            <w:tcW w:w="2870" w:type="dxa"/>
            <w:gridSpan w:val="2"/>
            <w:vAlign w:val="center"/>
          </w:tcPr>
          <w:p w14:paraId="13D0E63A">
            <w:pPr>
              <w:pStyle w:val="51"/>
              <w:rPr>
                <w:rFonts w:hAnsi="宋体" w:cs="宋体"/>
                <w:color w:val="auto"/>
                <w:sz w:val="24"/>
                <w:szCs w:val="24"/>
                <w:highlight w:val="none"/>
              </w:rPr>
            </w:pPr>
          </w:p>
        </w:tc>
      </w:tr>
      <w:tr w14:paraId="595E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04B97232">
            <w:pPr>
              <w:pStyle w:val="51"/>
              <w:rPr>
                <w:rFonts w:hAnsi="宋体" w:cs="宋体"/>
                <w:b/>
                <w:color w:val="auto"/>
                <w:sz w:val="24"/>
                <w:szCs w:val="24"/>
                <w:highlight w:val="none"/>
              </w:rPr>
            </w:pPr>
            <w:r>
              <w:rPr>
                <w:rFonts w:hint="eastAsia" w:hAnsi="宋体" w:cs="宋体"/>
                <w:b/>
                <w:color w:val="auto"/>
                <w:sz w:val="24"/>
                <w:szCs w:val="24"/>
                <w:highlight w:val="none"/>
              </w:rPr>
              <w:t>领导层构成情况</w:t>
            </w:r>
          </w:p>
        </w:tc>
      </w:tr>
      <w:tr w14:paraId="4189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1C636150">
            <w:pPr>
              <w:pStyle w:val="51"/>
              <w:rPr>
                <w:rFonts w:hAnsi="宋体" w:cs="宋体"/>
                <w:color w:val="auto"/>
                <w:sz w:val="24"/>
                <w:szCs w:val="24"/>
                <w:highlight w:val="none"/>
              </w:rPr>
            </w:pPr>
          </w:p>
        </w:tc>
        <w:tc>
          <w:tcPr>
            <w:tcW w:w="1914" w:type="dxa"/>
            <w:gridSpan w:val="3"/>
            <w:vAlign w:val="center"/>
          </w:tcPr>
          <w:p w14:paraId="2B990DAF">
            <w:pPr>
              <w:pStyle w:val="51"/>
              <w:rPr>
                <w:rFonts w:hAnsi="宋体" w:cs="宋体"/>
                <w:color w:val="auto"/>
                <w:sz w:val="24"/>
                <w:szCs w:val="24"/>
                <w:highlight w:val="none"/>
              </w:rPr>
            </w:pPr>
            <w:r>
              <w:rPr>
                <w:rFonts w:hint="eastAsia" w:hAnsi="宋体" w:cs="宋体"/>
                <w:color w:val="auto"/>
                <w:sz w:val="24"/>
                <w:szCs w:val="24"/>
                <w:highlight w:val="none"/>
              </w:rPr>
              <w:t>姓名</w:t>
            </w:r>
          </w:p>
        </w:tc>
        <w:tc>
          <w:tcPr>
            <w:tcW w:w="1914" w:type="dxa"/>
            <w:gridSpan w:val="2"/>
            <w:vAlign w:val="center"/>
          </w:tcPr>
          <w:p w14:paraId="29AEC153">
            <w:pPr>
              <w:pStyle w:val="51"/>
              <w:rPr>
                <w:rFonts w:hAnsi="宋体" w:cs="宋体"/>
                <w:color w:val="auto"/>
                <w:sz w:val="24"/>
                <w:szCs w:val="24"/>
                <w:highlight w:val="none"/>
              </w:rPr>
            </w:pPr>
            <w:r>
              <w:rPr>
                <w:rFonts w:hint="eastAsia" w:hAnsi="宋体" w:cs="宋体"/>
                <w:color w:val="auto"/>
                <w:sz w:val="24"/>
                <w:szCs w:val="24"/>
                <w:highlight w:val="none"/>
              </w:rPr>
              <w:t>职务</w:t>
            </w:r>
          </w:p>
        </w:tc>
        <w:tc>
          <w:tcPr>
            <w:tcW w:w="1914" w:type="dxa"/>
            <w:gridSpan w:val="2"/>
            <w:vAlign w:val="center"/>
          </w:tcPr>
          <w:p w14:paraId="303B6352">
            <w:pPr>
              <w:pStyle w:val="51"/>
              <w:rPr>
                <w:rFonts w:hAnsi="宋体" w:cs="宋体"/>
                <w:color w:val="auto"/>
                <w:sz w:val="24"/>
                <w:szCs w:val="24"/>
                <w:highlight w:val="none"/>
              </w:rPr>
            </w:pPr>
            <w:r>
              <w:rPr>
                <w:rFonts w:hint="eastAsia" w:hAnsi="宋体" w:cs="宋体"/>
                <w:color w:val="auto"/>
                <w:sz w:val="24"/>
                <w:szCs w:val="24"/>
                <w:highlight w:val="none"/>
              </w:rPr>
              <w:t>职称</w:t>
            </w:r>
          </w:p>
        </w:tc>
        <w:tc>
          <w:tcPr>
            <w:tcW w:w="1802" w:type="dxa"/>
            <w:vAlign w:val="center"/>
          </w:tcPr>
          <w:p w14:paraId="715E1648">
            <w:pPr>
              <w:pStyle w:val="51"/>
              <w:rPr>
                <w:rFonts w:hAnsi="宋体" w:cs="宋体"/>
                <w:color w:val="auto"/>
                <w:sz w:val="24"/>
                <w:szCs w:val="24"/>
                <w:highlight w:val="none"/>
              </w:rPr>
            </w:pPr>
            <w:r>
              <w:rPr>
                <w:rFonts w:hint="eastAsia" w:hAnsi="宋体" w:cs="宋体"/>
                <w:color w:val="auto"/>
                <w:sz w:val="24"/>
                <w:szCs w:val="24"/>
                <w:highlight w:val="none"/>
              </w:rPr>
              <w:t>联系电话</w:t>
            </w:r>
          </w:p>
        </w:tc>
      </w:tr>
      <w:tr w14:paraId="48D2D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598B54A0">
            <w:pPr>
              <w:pStyle w:val="51"/>
              <w:rPr>
                <w:rFonts w:hAnsi="宋体" w:cs="宋体"/>
                <w:color w:val="auto"/>
                <w:sz w:val="24"/>
                <w:szCs w:val="24"/>
                <w:highlight w:val="none"/>
              </w:rPr>
            </w:pPr>
            <w:r>
              <w:rPr>
                <w:rFonts w:hint="eastAsia" w:hAnsi="宋体" w:cs="宋体"/>
                <w:color w:val="auto"/>
                <w:sz w:val="24"/>
                <w:szCs w:val="24"/>
                <w:highlight w:val="none"/>
              </w:rPr>
              <w:t>法定代表人</w:t>
            </w:r>
          </w:p>
        </w:tc>
        <w:tc>
          <w:tcPr>
            <w:tcW w:w="1914" w:type="dxa"/>
            <w:gridSpan w:val="3"/>
            <w:vAlign w:val="center"/>
          </w:tcPr>
          <w:p w14:paraId="513A5CFC">
            <w:pPr>
              <w:pStyle w:val="51"/>
              <w:rPr>
                <w:rFonts w:hAnsi="宋体" w:cs="宋体"/>
                <w:color w:val="auto"/>
                <w:sz w:val="24"/>
                <w:szCs w:val="24"/>
                <w:highlight w:val="none"/>
              </w:rPr>
            </w:pPr>
          </w:p>
        </w:tc>
        <w:tc>
          <w:tcPr>
            <w:tcW w:w="1914" w:type="dxa"/>
            <w:gridSpan w:val="2"/>
            <w:vAlign w:val="center"/>
          </w:tcPr>
          <w:p w14:paraId="470E07BD">
            <w:pPr>
              <w:pStyle w:val="51"/>
              <w:rPr>
                <w:rFonts w:hAnsi="宋体" w:cs="宋体"/>
                <w:color w:val="auto"/>
                <w:sz w:val="24"/>
                <w:szCs w:val="24"/>
                <w:highlight w:val="none"/>
              </w:rPr>
            </w:pPr>
          </w:p>
        </w:tc>
        <w:tc>
          <w:tcPr>
            <w:tcW w:w="1914" w:type="dxa"/>
            <w:gridSpan w:val="2"/>
            <w:vAlign w:val="center"/>
          </w:tcPr>
          <w:p w14:paraId="004BAF7C">
            <w:pPr>
              <w:pStyle w:val="51"/>
              <w:rPr>
                <w:rFonts w:hAnsi="宋体" w:cs="宋体"/>
                <w:color w:val="auto"/>
                <w:sz w:val="24"/>
                <w:szCs w:val="24"/>
                <w:highlight w:val="none"/>
              </w:rPr>
            </w:pPr>
          </w:p>
        </w:tc>
        <w:tc>
          <w:tcPr>
            <w:tcW w:w="1802" w:type="dxa"/>
            <w:vAlign w:val="center"/>
          </w:tcPr>
          <w:p w14:paraId="7297E902">
            <w:pPr>
              <w:pStyle w:val="51"/>
              <w:rPr>
                <w:rFonts w:hAnsi="宋体" w:cs="宋体"/>
                <w:color w:val="auto"/>
                <w:sz w:val="24"/>
                <w:szCs w:val="24"/>
                <w:highlight w:val="none"/>
              </w:rPr>
            </w:pPr>
          </w:p>
        </w:tc>
      </w:tr>
      <w:tr w14:paraId="69DB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5C9E59CA">
            <w:pPr>
              <w:pStyle w:val="51"/>
              <w:rPr>
                <w:rFonts w:hAnsi="宋体" w:cs="宋体"/>
                <w:color w:val="auto"/>
                <w:sz w:val="24"/>
                <w:szCs w:val="24"/>
                <w:highlight w:val="none"/>
              </w:rPr>
            </w:pPr>
            <w:r>
              <w:rPr>
                <w:rFonts w:hint="eastAsia" w:hAnsi="宋体" w:cs="宋体"/>
                <w:color w:val="auto"/>
                <w:sz w:val="24"/>
                <w:szCs w:val="24"/>
                <w:highlight w:val="none"/>
              </w:rPr>
              <w:t>单位负责人</w:t>
            </w:r>
          </w:p>
        </w:tc>
        <w:tc>
          <w:tcPr>
            <w:tcW w:w="1914" w:type="dxa"/>
            <w:gridSpan w:val="3"/>
            <w:vAlign w:val="center"/>
          </w:tcPr>
          <w:p w14:paraId="41E780E3">
            <w:pPr>
              <w:pStyle w:val="51"/>
              <w:rPr>
                <w:rFonts w:hAnsi="宋体" w:cs="宋体"/>
                <w:color w:val="auto"/>
                <w:sz w:val="24"/>
                <w:szCs w:val="24"/>
                <w:highlight w:val="none"/>
              </w:rPr>
            </w:pPr>
          </w:p>
        </w:tc>
        <w:tc>
          <w:tcPr>
            <w:tcW w:w="1914" w:type="dxa"/>
            <w:gridSpan w:val="2"/>
            <w:vAlign w:val="center"/>
          </w:tcPr>
          <w:p w14:paraId="69484A85">
            <w:pPr>
              <w:pStyle w:val="51"/>
              <w:rPr>
                <w:rFonts w:hAnsi="宋体" w:cs="宋体"/>
                <w:color w:val="auto"/>
                <w:sz w:val="24"/>
                <w:szCs w:val="24"/>
                <w:highlight w:val="none"/>
              </w:rPr>
            </w:pPr>
          </w:p>
        </w:tc>
        <w:tc>
          <w:tcPr>
            <w:tcW w:w="1914" w:type="dxa"/>
            <w:gridSpan w:val="2"/>
            <w:vAlign w:val="center"/>
          </w:tcPr>
          <w:p w14:paraId="155FCA27">
            <w:pPr>
              <w:pStyle w:val="51"/>
              <w:rPr>
                <w:rFonts w:hAnsi="宋体" w:cs="宋体"/>
                <w:color w:val="auto"/>
                <w:sz w:val="24"/>
                <w:szCs w:val="24"/>
                <w:highlight w:val="none"/>
              </w:rPr>
            </w:pPr>
          </w:p>
        </w:tc>
        <w:tc>
          <w:tcPr>
            <w:tcW w:w="1802" w:type="dxa"/>
            <w:vAlign w:val="center"/>
          </w:tcPr>
          <w:p w14:paraId="16DAFAFC">
            <w:pPr>
              <w:pStyle w:val="51"/>
              <w:rPr>
                <w:rFonts w:hAnsi="宋体" w:cs="宋体"/>
                <w:color w:val="auto"/>
                <w:sz w:val="24"/>
                <w:szCs w:val="24"/>
                <w:highlight w:val="none"/>
              </w:rPr>
            </w:pPr>
          </w:p>
        </w:tc>
      </w:tr>
      <w:tr w14:paraId="39A1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1D3C94F7">
            <w:pPr>
              <w:pStyle w:val="51"/>
              <w:rPr>
                <w:rFonts w:hAnsi="宋体" w:cs="宋体"/>
                <w:color w:val="auto"/>
                <w:sz w:val="24"/>
                <w:szCs w:val="24"/>
                <w:highlight w:val="none"/>
              </w:rPr>
            </w:pPr>
          </w:p>
        </w:tc>
        <w:tc>
          <w:tcPr>
            <w:tcW w:w="1914" w:type="dxa"/>
            <w:gridSpan w:val="3"/>
            <w:vAlign w:val="center"/>
          </w:tcPr>
          <w:p w14:paraId="382B8BEB">
            <w:pPr>
              <w:pStyle w:val="51"/>
              <w:rPr>
                <w:rFonts w:hAnsi="宋体" w:cs="宋体"/>
                <w:color w:val="auto"/>
                <w:sz w:val="24"/>
                <w:szCs w:val="24"/>
                <w:highlight w:val="none"/>
              </w:rPr>
            </w:pPr>
          </w:p>
        </w:tc>
        <w:tc>
          <w:tcPr>
            <w:tcW w:w="1914" w:type="dxa"/>
            <w:gridSpan w:val="2"/>
            <w:vAlign w:val="center"/>
          </w:tcPr>
          <w:p w14:paraId="79A37515">
            <w:pPr>
              <w:pStyle w:val="51"/>
              <w:rPr>
                <w:rFonts w:hAnsi="宋体" w:cs="宋体"/>
                <w:color w:val="auto"/>
                <w:sz w:val="24"/>
                <w:szCs w:val="24"/>
                <w:highlight w:val="none"/>
              </w:rPr>
            </w:pPr>
          </w:p>
        </w:tc>
        <w:tc>
          <w:tcPr>
            <w:tcW w:w="1914" w:type="dxa"/>
            <w:gridSpan w:val="2"/>
            <w:vAlign w:val="center"/>
          </w:tcPr>
          <w:p w14:paraId="0ECFA81C">
            <w:pPr>
              <w:pStyle w:val="51"/>
              <w:rPr>
                <w:rFonts w:hAnsi="宋体" w:cs="宋体"/>
                <w:color w:val="auto"/>
                <w:sz w:val="24"/>
                <w:szCs w:val="24"/>
                <w:highlight w:val="none"/>
              </w:rPr>
            </w:pPr>
          </w:p>
        </w:tc>
        <w:tc>
          <w:tcPr>
            <w:tcW w:w="1802" w:type="dxa"/>
            <w:vAlign w:val="center"/>
          </w:tcPr>
          <w:p w14:paraId="4F70E8DA">
            <w:pPr>
              <w:pStyle w:val="51"/>
              <w:rPr>
                <w:rFonts w:hAnsi="宋体" w:cs="宋体"/>
                <w:color w:val="auto"/>
                <w:sz w:val="24"/>
                <w:szCs w:val="24"/>
                <w:highlight w:val="none"/>
              </w:rPr>
            </w:pPr>
          </w:p>
        </w:tc>
      </w:tr>
      <w:tr w14:paraId="4AE5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10323936">
            <w:pPr>
              <w:pStyle w:val="51"/>
              <w:rPr>
                <w:rFonts w:hAnsi="宋体" w:cs="宋体"/>
                <w:color w:val="auto"/>
                <w:sz w:val="24"/>
                <w:szCs w:val="24"/>
                <w:highlight w:val="none"/>
              </w:rPr>
            </w:pPr>
          </w:p>
        </w:tc>
        <w:tc>
          <w:tcPr>
            <w:tcW w:w="1914" w:type="dxa"/>
            <w:gridSpan w:val="3"/>
            <w:vAlign w:val="center"/>
          </w:tcPr>
          <w:p w14:paraId="71C982DD">
            <w:pPr>
              <w:pStyle w:val="51"/>
              <w:rPr>
                <w:rFonts w:hAnsi="宋体" w:cs="宋体"/>
                <w:color w:val="auto"/>
                <w:sz w:val="24"/>
                <w:szCs w:val="24"/>
                <w:highlight w:val="none"/>
              </w:rPr>
            </w:pPr>
          </w:p>
        </w:tc>
        <w:tc>
          <w:tcPr>
            <w:tcW w:w="1914" w:type="dxa"/>
            <w:gridSpan w:val="2"/>
            <w:vAlign w:val="center"/>
          </w:tcPr>
          <w:p w14:paraId="5AAE459B">
            <w:pPr>
              <w:pStyle w:val="51"/>
              <w:rPr>
                <w:rFonts w:hAnsi="宋体" w:cs="宋体"/>
                <w:color w:val="auto"/>
                <w:sz w:val="24"/>
                <w:szCs w:val="24"/>
                <w:highlight w:val="none"/>
              </w:rPr>
            </w:pPr>
          </w:p>
        </w:tc>
        <w:tc>
          <w:tcPr>
            <w:tcW w:w="1914" w:type="dxa"/>
            <w:gridSpan w:val="2"/>
            <w:vAlign w:val="center"/>
          </w:tcPr>
          <w:p w14:paraId="6AB125BF">
            <w:pPr>
              <w:pStyle w:val="51"/>
              <w:rPr>
                <w:rFonts w:hAnsi="宋体" w:cs="宋体"/>
                <w:color w:val="auto"/>
                <w:sz w:val="24"/>
                <w:szCs w:val="24"/>
                <w:highlight w:val="none"/>
              </w:rPr>
            </w:pPr>
          </w:p>
        </w:tc>
        <w:tc>
          <w:tcPr>
            <w:tcW w:w="1802" w:type="dxa"/>
            <w:vAlign w:val="center"/>
          </w:tcPr>
          <w:p w14:paraId="2901F372">
            <w:pPr>
              <w:pStyle w:val="51"/>
              <w:rPr>
                <w:rFonts w:hAnsi="宋体" w:cs="宋体"/>
                <w:color w:val="auto"/>
                <w:sz w:val="24"/>
                <w:szCs w:val="24"/>
                <w:highlight w:val="none"/>
              </w:rPr>
            </w:pPr>
          </w:p>
        </w:tc>
      </w:tr>
      <w:tr w14:paraId="2275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515D26F7">
            <w:pPr>
              <w:pStyle w:val="51"/>
              <w:rPr>
                <w:rFonts w:hAnsi="宋体" w:cs="宋体"/>
                <w:color w:val="auto"/>
                <w:sz w:val="24"/>
                <w:szCs w:val="24"/>
                <w:highlight w:val="none"/>
              </w:rPr>
            </w:pPr>
          </w:p>
        </w:tc>
        <w:tc>
          <w:tcPr>
            <w:tcW w:w="1914" w:type="dxa"/>
            <w:gridSpan w:val="3"/>
            <w:vAlign w:val="center"/>
          </w:tcPr>
          <w:p w14:paraId="7DACA7AB">
            <w:pPr>
              <w:pStyle w:val="51"/>
              <w:rPr>
                <w:rFonts w:hAnsi="宋体" w:cs="宋体"/>
                <w:color w:val="auto"/>
                <w:sz w:val="24"/>
                <w:szCs w:val="24"/>
                <w:highlight w:val="none"/>
              </w:rPr>
            </w:pPr>
          </w:p>
        </w:tc>
        <w:tc>
          <w:tcPr>
            <w:tcW w:w="1914" w:type="dxa"/>
            <w:gridSpan w:val="2"/>
            <w:vAlign w:val="center"/>
          </w:tcPr>
          <w:p w14:paraId="63A9586F">
            <w:pPr>
              <w:pStyle w:val="51"/>
              <w:rPr>
                <w:rFonts w:hAnsi="宋体" w:cs="宋体"/>
                <w:color w:val="auto"/>
                <w:sz w:val="24"/>
                <w:szCs w:val="24"/>
                <w:highlight w:val="none"/>
              </w:rPr>
            </w:pPr>
          </w:p>
        </w:tc>
        <w:tc>
          <w:tcPr>
            <w:tcW w:w="1914" w:type="dxa"/>
            <w:gridSpan w:val="2"/>
            <w:vAlign w:val="center"/>
          </w:tcPr>
          <w:p w14:paraId="72B28A57">
            <w:pPr>
              <w:pStyle w:val="51"/>
              <w:rPr>
                <w:rFonts w:hAnsi="宋体" w:cs="宋体"/>
                <w:color w:val="auto"/>
                <w:sz w:val="24"/>
                <w:szCs w:val="24"/>
                <w:highlight w:val="none"/>
              </w:rPr>
            </w:pPr>
          </w:p>
        </w:tc>
        <w:tc>
          <w:tcPr>
            <w:tcW w:w="1802" w:type="dxa"/>
            <w:vAlign w:val="center"/>
          </w:tcPr>
          <w:p w14:paraId="46721AA6">
            <w:pPr>
              <w:pStyle w:val="51"/>
              <w:rPr>
                <w:rFonts w:hAnsi="宋体" w:cs="宋体"/>
                <w:color w:val="auto"/>
                <w:sz w:val="24"/>
                <w:szCs w:val="24"/>
                <w:highlight w:val="none"/>
              </w:rPr>
            </w:pPr>
          </w:p>
        </w:tc>
      </w:tr>
      <w:tr w14:paraId="2187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054ACC2F">
            <w:pPr>
              <w:pStyle w:val="51"/>
              <w:rPr>
                <w:rFonts w:hAnsi="宋体" w:cs="宋体"/>
                <w:b/>
                <w:color w:val="auto"/>
                <w:sz w:val="24"/>
                <w:szCs w:val="24"/>
                <w:highlight w:val="none"/>
              </w:rPr>
            </w:pPr>
            <w:r>
              <w:rPr>
                <w:rFonts w:hint="eastAsia" w:hAnsi="宋体" w:cs="宋体"/>
                <w:b/>
                <w:color w:val="auto"/>
                <w:sz w:val="24"/>
                <w:szCs w:val="24"/>
                <w:highlight w:val="none"/>
              </w:rPr>
              <w:t>人员职称构成情况</w:t>
            </w:r>
          </w:p>
        </w:tc>
      </w:tr>
      <w:tr w14:paraId="52739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14" w:type="dxa"/>
            <w:vAlign w:val="center"/>
          </w:tcPr>
          <w:p w14:paraId="75425499">
            <w:pPr>
              <w:pStyle w:val="51"/>
              <w:rPr>
                <w:rFonts w:hAnsi="宋体" w:cs="宋体"/>
                <w:color w:val="auto"/>
                <w:sz w:val="24"/>
                <w:szCs w:val="24"/>
                <w:highlight w:val="none"/>
              </w:rPr>
            </w:pPr>
            <w:r>
              <w:rPr>
                <w:rFonts w:hint="eastAsia" w:hAnsi="宋体" w:cs="宋体"/>
                <w:color w:val="auto"/>
                <w:sz w:val="24"/>
                <w:szCs w:val="24"/>
                <w:highlight w:val="none"/>
              </w:rPr>
              <w:t>人员总数</w:t>
            </w:r>
          </w:p>
        </w:tc>
        <w:tc>
          <w:tcPr>
            <w:tcW w:w="1914" w:type="dxa"/>
            <w:gridSpan w:val="3"/>
            <w:vAlign w:val="center"/>
          </w:tcPr>
          <w:p w14:paraId="0CB45CCF">
            <w:pPr>
              <w:pStyle w:val="51"/>
              <w:rPr>
                <w:rFonts w:hAnsi="宋体" w:cs="宋体"/>
                <w:color w:val="auto"/>
                <w:sz w:val="24"/>
                <w:szCs w:val="24"/>
                <w:highlight w:val="none"/>
              </w:rPr>
            </w:pPr>
            <w:r>
              <w:rPr>
                <w:rFonts w:hint="eastAsia" w:hAnsi="宋体" w:cs="宋体"/>
                <w:color w:val="auto"/>
                <w:sz w:val="24"/>
                <w:szCs w:val="24"/>
                <w:highlight w:val="none"/>
              </w:rPr>
              <w:t>高级职称</w:t>
            </w:r>
          </w:p>
        </w:tc>
        <w:tc>
          <w:tcPr>
            <w:tcW w:w="1914" w:type="dxa"/>
            <w:gridSpan w:val="2"/>
            <w:vAlign w:val="center"/>
          </w:tcPr>
          <w:p w14:paraId="7E5921F9">
            <w:pPr>
              <w:pStyle w:val="51"/>
              <w:rPr>
                <w:rFonts w:hAnsi="宋体" w:cs="宋体"/>
                <w:color w:val="auto"/>
                <w:sz w:val="24"/>
                <w:szCs w:val="24"/>
                <w:highlight w:val="none"/>
              </w:rPr>
            </w:pPr>
            <w:r>
              <w:rPr>
                <w:rFonts w:hint="eastAsia" w:hAnsi="宋体" w:cs="宋体"/>
                <w:color w:val="auto"/>
                <w:sz w:val="24"/>
                <w:szCs w:val="24"/>
                <w:highlight w:val="none"/>
              </w:rPr>
              <w:t>中级职称</w:t>
            </w:r>
          </w:p>
        </w:tc>
        <w:tc>
          <w:tcPr>
            <w:tcW w:w="1914" w:type="dxa"/>
            <w:gridSpan w:val="2"/>
            <w:vAlign w:val="center"/>
          </w:tcPr>
          <w:p w14:paraId="3C79572D">
            <w:pPr>
              <w:pStyle w:val="51"/>
              <w:rPr>
                <w:rFonts w:hAnsi="宋体" w:cs="宋体"/>
                <w:color w:val="auto"/>
                <w:sz w:val="24"/>
                <w:szCs w:val="24"/>
                <w:highlight w:val="none"/>
              </w:rPr>
            </w:pPr>
            <w:r>
              <w:rPr>
                <w:rFonts w:hint="eastAsia" w:hAnsi="宋体" w:cs="宋体"/>
                <w:color w:val="auto"/>
                <w:sz w:val="24"/>
                <w:szCs w:val="24"/>
                <w:highlight w:val="none"/>
              </w:rPr>
              <w:t>初级职称</w:t>
            </w:r>
          </w:p>
        </w:tc>
        <w:tc>
          <w:tcPr>
            <w:tcW w:w="1802" w:type="dxa"/>
            <w:vAlign w:val="center"/>
          </w:tcPr>
          <w:p w14:paraId="16122DCB">
            <w:pPr>
              <w:pStyle w:val="51"/>
              <w:rPr>
                <w:rFonts w:hAnsi="宋体" w:cs="宋体"/>
                <w:color w:val="auto"/>
                <w:sz w:val="24"/>
                <w:szCs w:val="24"/>
                <w:highlight w:val="none"/>
              </w:rPr>
            </w:pPr>
            <w:r>
              <w:rPr>
                <w:rFonts w:hint="eastAsia" w:hAnsi="宋体" w:cs="宋体"/>
                <w:color w:val="auto"/>
                <w:sz w:val="24"/>
                <w:szCs w:val="24"/>
                <w:highlight w:val="none"/>
              </w:rPr>
              <w:t>其他</w:t>
            </w:r>
          </w:p>
        </w:tc>
      </w:tr>
      <w:tr w14:paraId="6117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914" w:type="dxa"/>
            <w:vAlign w:val="center"/>
          </w:tcPr>
          <w:p w14:paraId="36EB656F">
            <w:pPr>
              <w:pStyle w:val="51"/>
              <w:rPr>
                <w:rFonts w:hAnsi="宋体" w:cs="宋体"/>
                <w:color w:val="auto"/>
                <w:sz w:val="24"/>
                <w:szCs w:val="24"/>
                <w:highlight w:val="none"/>
              </w:rPr>
            </w:pPr>
          </w:p>
        </w:tc>
        <w:tc>
          <w:tcPr>
            <w:tcW w:w="1914" w:type="dxa"/>
            <w:gridSpan w:val="3"/>
            <w:vAlign w:val="center"/>
          </w:tcPr>
          <w:p w14:paraId="7F9F2CEF">
            <w:pPr>
              <w:pStyle w:val="51"/>
              <w:rPr>
                <w:rFonts w:hAnsi="宋体" w:cs="宋体"/>
                <w:color w:val="auto"/>
                <w:sz w:val="24"/>
                <w:szCs w:val="24"/>
                <w:highlight w:val="none"/>
              </w:rPr>
            </w:pPr>
          </w:p>
        </w:tc>
        <w:tc>
          <w:tcPr>
            <w:tcW w:w="1914" w:type="dxa"/>
            <w:gridSpan w:val="2"/>
            <w:vAlign w:val="center"/>
          </w:tcPr>
          <w:p w14:paraId="188BD652">
            <w:pPr>
              <w:pStyle w:val="51"/>
              <w:rPr>
                <w:rFonts w:hAnsi="宋体" w:cs="宋体"/>
                <w:color w:val="auto"/>
                <w:sz w:val="24"/>
                <w:szCs w:val="24"/>
                <w:highlight w:val="none"/>
              </w:rPr>
            </w:pPr>
          </w:p>
        </w:tc>
        <w:tc>
          <w:tcPr>
            <w:tcW w:w="1914" w:type="dxa"/>
            <w:gridSpan w:val="2"/>
            <w:vAlign w:val="center"/>
          </w:tcPr>
          <w:p w14:paraId="47A9C741">
            <w:pPr>
              <w:pStyle w:val="51"/>
              <w:rPr>
                <w:rFonts w:hAnsi="宋体" w:cs="宋体"/>
                <w:color w:val="auto"/>
                <w:sz w:val="24"/>
                <w:szCs w:val="24"/>
                <w:highlight w:val="none"/>
              </w:rPr>
            </w:pPr>
          </w:p>
        </w:tc>
        <w:tc>
          <w:tcPr>
            <w:tcW w:w="1802" w:type="dxa"/>
            <w:vAlign w:val="center"/>
          </w:tcPr>
          <w:p w14:paraId="574DDCAF">
            <w:pPr>
              <w:pStyle w:val="51"/>
              <w:rPr>
                <w:rFonts w:hAnsi="宋体" w:cs="宋体"/>
                <w:color w:val="auto"/>
                <w:sz w:val="24"/>
                <w:szCs w:val="24"/>
                <w:highlight w:val="none"/>
              </w:rPr>
            </w:pPr>
          </w:p>
        </w:tc>
      </w:tr>
      <w:tr w14:paraId="7B45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458" w:type="dxa"/>
            <w:gridSpan w:val="9"/>
            <w:vAlign w:val="center"/>
          </w:tcPr>
          <w:p w14:paraId="6F89245E">
            <w:pPr>
              <w:pStyle w:val="51"/>
              <w:rPr>
                <w:rFonts w:hAnsi="宋体" w:cs="宋体"/>
                <w:b/>
                <w:color w:val="auto"/>
                <w:sz w:val="24"/>
                <w:szCs w:val="24"/>
                <w:highlight w:val="none"/>
              </w:rPr>
            </w:pPr>
            <w:r>
              <w:rPr>
                <w:rFonts w:hint="eastAsia" w:hAnsi="宋体" w:cs="宋体"/>
                <w:b/>
                <w:color w:val="auto"/>
                <w:sz w:val="24"/>
                <w:szCs w:val="24"/>
                <w:highlight w:val="none"/>
              </w:rPr>
              <w:t>近5年营业额情况（万元）</w:t>
            </w:r>
          </w:p>
        </w:tc>
      </w:tr>
      <w:tr w14:paraId="5611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vAlign w:val="center"/>
          </w:tcPr>
          <w:p w14:paraId="27261411">
            <w:pPr>
              <w:pStyle w:val="51"/>
              <w:rPr>
                <w:rFonts w:hAnsi="宋体" w:cs="宋体"/>
                <w:color w:val="auto"/>
                <w:sz w:val="24"/>
                <w:szCs w:val="24"/>
                <w:highlight w:val="none"/>
              </w:rPr>
            </w:pPr>
            <w:r>
              <w:rPr>
                <w:rFonts w:hint="eastAsia" w:hAnsi="宋体" w:cs="宋体"/>
                <w:color w:val="auto"/>
                <w:sz w:val="24"/>
                <w:szCs w:val="24"/>
                <w:highlight w:val="none"/>
              </w:rPr>
              <w:t>20  年</w:t>
            </w:r>
          </w:p>
        </w:tc>
        <w:tc>
          <w:tcPr>
            <w:tcW w:w="1660" w:type="dxa"/>
            <w:vAlign w:val="center"/>
          </w:tcPr>
          <w:p w14:paraId="7ADC8A8B">
            <w:pPr>
              <w:pStyle w:val="51"/>
              <w:rPr>
                <w:rFonts w:hAnsi="宋体" w:cs="宋体"/>
                <w:color w:val="auto"/>
                <w:sz w:val="24"/>
                <w:szCs w:val="24"/>
                <w:highlight w:val="none"/>
              </w:rPr>
            </w:pPr>
            <w:r>
              <w:rPr>
                <w:rFonts w:hint="eastAsia" w:hAnsi="宋体" w:cs="宋体"/>
                <w:color w:val="auto"/>
                <w:sz w:val="24"/>
                <w:szCs w:val="24"/>
                <w:highlight w:val="none"/>
              </w:rPr>
              <w:t>20  年</w:t>
            </w:r>
          </w:p>
        </w:tc>
        <w:tc>
          <w:tcPr>
            <w:tcW w:w="1914" w:type="dxa"/>
            <w:gridSpan w:val="2"/>
            <w:vAlign w:val="center"/>
          </w:tcPr>
          <w:p w14:paraId="79BBE370">
            <w:pPr>
              <w:pStyle w:val="51"/>
              <w:rPr>
                <w:rFonts w:hAnsi="宋体" w:cs="宋体"/>
                <w:color w:val="auto"/>
                <w:sz w:val="24"/>
                <w:szCs w:val="24"/>
                <w:highlight w:val="none"/>
              </w:rPr>
            </w:pPr>
            <w:r>
              <w:rPr>
                <w:rFonts w:hint="eastAsia" w:hAnsi="宋体" w:cs="宋体"/>
                <w:color w:val="auto"/>
                <w:sz w:val="24"/>
                <w:szCs w:val="24"/>
                <w:highlight w:val="none"/>
              </w:rPr>
              <w:t>20  年</w:t>
            </w:r>
          </w:p>
        </w:tc>
        <w:tc>
          <w:tcPr>
            <w:tcW w:w="1914" w:type="dxa"/>
            <w:gridSpan w:val="2"/>
            <w:vAlign w:val="center"/>
          </w:tcPr>
          <w:p w14:paraId="38114416">
            <w:pPr>
              <w:pStyle w:val="51"/>
              <w:rPr>
                <w:rFonts w:hAnsi="宋体" w:cs="宋体"/>
                <w:color w:val="auto"/>
                <w:sz w:val="24"/>
                <w:szCs w:val="24"/>
                <w:highlight w:val="none"/>
              </w:rPr>
            </w:pPr>
            <w:r>
              <w:rPr>
                <w:rFonts w:hint="eastAsia" w:hAnsi="宋体" w:cs="宋体"/>
                <w:color w:val="auto"/>
                <w:sz w:val="24"/>
                <w:szCs w:val="24"/>
                <w:highlight w:val="none"/>
              </w:rPr>
              <w:t>20  年</w:t>
            </w:r>
          </w:p>
        </w:tc>
        <w:tc>
          <w:tcPr>
            <w:tcW w:w="1802" w:type="dxa"/>
            <w:vAlign w:val="center"/>
          </w:tcPr>
          <w:p w14:paraId="096DD856">
            <w:pPr>
              <w:pStyle w:val="51"/>
              <w:rPr>
                <w:rFonts w:hAnsi="宋体" w:cs="宋体"/>
                <w:color w:val="auto"/>
                <w:sz w:val="24"/>
                <w:szCs w:val="24"/>
                <w:highlight w:val="none"/>
              </w:rPr>
            </w:pPr>
            <w:r>
              <w:rPr>
                <w:rFonts w:hint="eastAsia" w:hAnsi="宋体" w:cs="宋体"/>
                <w:color w:val="auto"/>
                <w:sz w:val="24"/>
                <w:szCs w:val="24"/>
                <w:highlight w:val="none"/>
              </w:rPr>
              <w:t>20  年</w:t>
            </w:r>
          </w:p>
        </w:tc>
      </w:tr>
      <w:tr w14:paraId="3072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68" w:type="dxa"/>
            <w:gridSpan w:val="3"/>
            <w:vAlign w:val="center"/>
          </w:tcPr>
          <w:p w14:paraId="6851904C">
            <w:pPr>
              <w:pStyle w:val="51"/>
              <w:rPr>
                <w:rFonts w:hAnsi="宋体" w:cs="宋体"/>
                <w:color w:val="auto"/>
                <w:sz w:val="24"/>
                <w:szCs w:val="24"/>
                <w:highlight w:val="none"/>
              </w:rPr>
            </w:pPr>
          </w:p>
        </w:tc>
        <w:tc>
          <w:tcPr>
            <w:tcW w:w="1660" w:type="dxa"/>
            <w:vAlign w:val="center"/>
          </w:tcPr>
          <w:p w14:paraId="1C19A0B5">
            <w:pPr>
              <w:pStyle w:val="51"/>
              <w:rPr>
                <w:rFonts w:hAnsi="宋体" w:cs="宋体"/>
                <w:color w:val="auto"/>
                <w:sz w:val="24"/>
                <w:szCs w:val="24"/>
                <w:highlight w:val="none"/>
              </w:rPr>
            </w:pPr>
          </w:p>
        </w:tc>
        <w:tc>
          <w:tcPr>
            <w:tcW w:w="1914" w:type="dxa"/>
            <w:gridSpan w:val="2"/>
            <w:vAlign w:val="center"/>
          </w:tcPr>
          <w:p w14:paraId="1E370537">
            <w:pPr>
              <w:pStyle w:val="51"/>
              <w:rPr>
                <w:rFonts w:hAnsi="宋体" w:cs="宋体"/>
                <w:color w:val="auto"/>
                <w:sz w:val="24"/>
                <w:szCs w:val="24"/>
                <w:highlight w:val="none"/>
              </w:rPr>
            </w:pPr>
          </w:p>
        </w:tc>
        <w:tc>
          <w:tcPr>
            <w:tcW w:w="1914" w:type="dxa"/>
            <w:gridSpan w:val="2"/>
            <w:vAlign w:val="center"/>
          </w:tcPr>
          <w:p w14:paraId="3FCFD111">
            <w:pPr>
              <w:pStyle w:val="51"/>
              <w:rPr>
                <w:rFonts w:hAnsi="宋体" w:cs="宋体"/>
                <w:color w:val="auto"/>
                <w:sz w:val="24"/>
                <w:szCs w:val="24"/>
                <w:highlight w:val="none"/>
              </w:rPr>
            </w:pPr>
          </w:p>
        </w:tc>
        <w:tc>
          <w:tcPr>
            <w:tcW w:w="1802" w:type="dxa"/>
            <w:vAlign w:val="center"/>
          </w:tcPr>
          <w:p w14:paraId="22945AF6">
            <w:pPr>
              <w:pStyle w:val="51"/>
              <w:rPr>
                <w:rFonts w:hAnsi="宋体" w:cs="宋体"/>
                <w:color w:val="auto"/>
                <w:sz w:val="24"/>
                <w:szCs w:val="24"/>
                <w:highlight w:val="none"/>
              </w:rPr>
            </w:pPr>
          </w:p>
        </w:tc>
      </w:tr>
    </w:tbl>
    <w:p w14:paraId="2AB7876D">
      <w:pPr>
        <w:pStyle w:val="51"/>
        <w:snapToGrid w:val="0"/>
        <w:spacing w:line="360" w:lineRule="auto"/>
        <w:rPr>
          <w:rFonts w:hAnsi="宋体" w:cs="宋体"/>
          <w:snapToGrid w:val="0"/>
          <w:color w:val="auto"/>
          <w:sz w:val="24"/>
          <w:szCs w:val="24"/>
          <w:highlight w:val="none"/>
        </w:rPr>
      </w:pPr>
      <w:r>
        <w:rPr>
          <w:rFonts w:hint="eastAsia" w:hAnsi="宋体" w:cs="宋体"/>
          <w:color w:val="auto"/>
          <w:sz w:val="24"/>
          <w:szCs w:val="24"/>
          <w:highlight w:val="none"/>
        </w:rPr>
        <w:t>注：本表后应附相关证明材料的复印件并加盖公章。</w:t>
      </w:r>
    </w:p>
    <w:p w14:paraId="5DD3302C">
      <w:pPr>
        <w:pStyle w:val="51"/>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投标人（盖公章）：</w:t>
      </w:r>
    </w:p>
    <w:p w14:paraId="09EBDE15">
      <w:pPr>
        <w:pStyle w:val="51"/>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法定代表人（负责人）或其委托代理人（签字或盖章）：</w:t>
      </w:r>
    </w:p>
    <w:p w14:paraId="38B373CB">
      <w:pPr>
        <w:pStyle w:val="51"/>
        <w:snapToGrid w:val="0"/>
        <w:spacing w:line="360" w:lineRule="auto"/>
        <w:rPr>
          <w:rFonts w:hAnsi="宋体" w:cs="宋体"/>
          <w:color w:val="auto"/>
          <w:sz w:val="24"/>
          <w:szCs w:val="24"/>
          <w:highlight w:val="none"/>
        </w:rPr>
      </w:pPr>
      <w:r>
        <w:rPr>
          <w:rFonts w:hint="eastAsia" w:hAnsi="宋体" w:cs="宋体"/>
          <w:snapToGrid w:val="0"/>
          <w:color w:val="auto"/>
          <w:sz w:val="24"/>
          <w:szCs w:val="24"/>
          <w:highlight w:val="none"/>
        </w:rPr>
        <w:t>日期：</w:t>
      </w:r>
      <w:r>
        <w:rPr>
          <w:rFonts w:hint="eastAsia" w:hAnsi="宋体" w:cs="宋体"/>
          <w:color w:val="auto"/>
          <w:sz w:val="24"/>
          <w:szCs w:val="24"/>
          <w:highlight w:val="none"/>
        </w:rPr>
        <w:t xml:space="preserve">      年    月    日</w:t>
      </w:r>
    </w:p>
    <w:p w14:paraId="576DF402">
      <w:pPr>
        <w:snapToGrid w:val="0"/>
        <w:spacing w:line="360" w:lineRule="auto"/>
        <w:jc w:val="center"/>
        <w:outlineLvl w:val="1"/>
        <w:rPr>
          <w:rFonts w:ascii="宋体" w:hAnsi="宋体" w:eastAsia="宋体" w:cs="宋体"/>
          <w:color w:val="auto"/>
          <w:sz w:val="24"/>
          <w:highlight w:val="none"/>
        </w:rPr>
      </w:pPr>
      <w:bookmarkStart w:id="104" w:name="_Toc24517"/>
      <w:r>
        <w:rPr>
          <w:rFonts w:hint="eastAsia" w:ascii="宋体" w:hAnsi="宋体" w:eastAsia="宋体" w:cs="宋体"/>
          <w:color w:val="auto"/>
          <w:sz w:val="24"/>
          <w:highlight w:val="none"/>
        </w:rPr>
        <w:t>二</w:t>
      </w:r>
      <w:bookmarkEnd w:id="104"/>
      <w:r>
        <w:rPr>
          <w:rFonts w:hint="eastAsia" w:ascii="宋体" w:hAnsi="宋体" w:eastAsia="宋体" w:cs="宋体"/>
          <w:b/>
          <w:bCs/>
          <w:color w:val="auto"/>
          <w:sz w:val="24"/>
          <w:highlight w:val="none"/>
        </w:rPr>
        <w:t>、投标人业绩情况表</w:t>
      </w:r>
    </w:p>
    <w:tbl>
      <w:tblPr>
        <w:tblStyle w:val="25"/>
        <w:tblW w:w="92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417"/>
        <w:gridCol w:w="1134"/>
        <w:gridCol w:w="1126"/>
        <w:gridCol w:w="1125"/>
        <w:gridCol w:w="850"/>
        <w:gridCol w:w="1134"/>
        <w:gridCol w:w="1152"/>
        <w:gridCol w:w="646"/>
      </w:tblGrid>
      <w:tr w14:paraId="5CCE3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709" w:type="dxa"/>
            <w:shd w:val="clear" w:color="auto" w:fill="auto"/>
            <w:vAlign w:val="center"/>
          </w:tcPr>
          <w:p w14:paraId="3036D296">
            <w:pPr>
              <w:adjustRightInd w:val="0"/>
              <w:snapToGrid w:val="0"/>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17" w:type="dxa"/>
            <w:shd w:val="clear" w:color="auto" w:fill="auto"/>
            <w:vAlign w:val="center"/>
          </w:tcPr>
          <w:p w14:paraId="42398083">
            <w:pPr>
              <w:adjustRightInd w:val="0"/>
              <w:snapToGrid w:val="0"/>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招标人名称</w:t>
            </w:r>
          </w:p>
        </w:tc>
        <w:tc>
          <w:tcPr>
            <w:tcW w:w="1134" w:type="dxa"/>
            <w:shd w:val="clear" w:color="auto" w:fill="auto"/>
            <w:vAlign w:val="center"/>
          </w:tcPr>
          <w:p w14:paraId="3303E806">
            <w:pPr>
              <w:adjustRightInd w:val="0"/>
              <w:snapToGrid w:val="0"/>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126" w:type="dxa"/>
            <w:shd w:val="clear" w:color="auto" w:fill="auto"/>
            <w:vAlign w:val="center"/>
          </w:tcPr>
          <w:p w14:paraId="37E8FE21">
            <w:pPr>
              <w:adjustRightInd w:val="0"/>
              <w:snapToGrid w:val="0"/>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合同金额</w:t>
            </w:r>
          </w:p>
        </w:tc>
        <w:tc>
          <w:tcPr>
            <w:tcW w:w="1125" w:type="dxa"/>
            <w:shd w:val="clear" w:color="auto" w:fill="auto"/>
            <w:vAlign w:val="center"/>
          </w:tcPr>
          <w:p w14:paraId="006A0A90">
            <w:pPr>
              <w:adjustRightInd w:val="0"/>
              <w:snapToGrid w:val="0"/>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签约日期</w:t>
            </w:r>
          </w:p>
        </w:tc>
        <w:tc>
          <w:tcPr>
            <w:tcW w:w="850" w:type="dxa"/>
            <w:shd w:val="clear" w:color="auto" w:fill="auto"/>
            <w:vAlign w:val="center"/>
          </w:tcPr>
          <w:p w14:paraId="7F23F03B">
            <w:pPr>
              <w:adjustRightInd w:val="0"/>
              <w:snapToGrid w:val="0"/>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1134" w:type="dxa"/>
            <w:shd w:val="clear" w:color="auto" w:fill="auto"/>
            <w:vAlign w:val="center"/>
          </w:tcPr>
          <w:p w14:paraId="20C3F0F0">
            <w:pPr>
              <w:adjustRightInd w:val="0"/>
              <w:snapToGrid w:val="0"/>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152" w:type="dxa"/>
            <w:shd w:val="clear" w:color="auto" w:fill="D9D9D9"/>
            <w:vAlign w:val="center"/>
          </w:tcPr>
          <w:p w14:paraId="17FEDF76">
            <w:pPr>
              <w:adjustRightInd w:val="0"/>
              <w:snapToGrid w:val="0"/>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合同证明文件所在页码</w:t>
            </w:r>
          </w:p>
        </w:tc>
        <w:tc>
          <w:tcPr>
            <w:tcW w:w="646" w:type="dxa"/>
            <w:vAlign w:val="center"/>
          </w:tcPr>
          <w:p w14:paraId="27CF7528">
            <w:pPr>
              <w:adjustRightInd w:val="0"/>
              <w:snapToGrid w:val="0"/>
              <w:spacing w:line="360" w:lineRule="exact"/>
              <w:jc w:val="center"/>
              <w:rPr>
                <w:rFonts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1226A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6E2E5DE5">
            <w:pPr>
              <w:spacing w:line="360" w:lineRule="auto"/>
              <w:jc w:val="center"/>
              <w:rPr>
                <w:rFonts w:ascii="宋体" w:hAnsi="宋体" w:eastAsia="宋体" w:cs="宋体"/>
                <w:color w:val="auto"/>
                <w:spacing w:val="20"/>
                <w:sz w:val="24"/>
                <w:highlight w:val="none"/>
              </w:rPr>
            </w:pPr>
          </w:p>
        </w:tc>
        <w:tc>
          <w:tcPr>
            <w:tcW w:w="1417" w:type="dxa"/>
            <w:shd w:val="clear" w:color="auto" w:fill="auto"/>
            <w:vAlign w:val="center"/>
          </w:tcPr>
          <w:p w14:paraId="03D5111B">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1FFDF67A">
            <w:pPr>
              <w:spacing w:line="360" w:lineRule="auto"/>
              <w:jc w:val="center"/>
              <w:rPr>
                <w:rFonts w:ascii="宋体" w:hAnsi="宋体" w:eastAsia="宋体" w:cs="宋体"/>
                <w:color w:val="auto"/>
                <w:spacing w:val="20"/>
                <w:sz w:val="24"/>
                <w:highlight w:val="none"/>
              </w:rPr>
            </w:pPr>
          </w:p>
        </w:tc>
        <w:tc>
          <w:tcPr>
            <w:tcW w:w="1126" w:type="dxa"/>
            <w:shd w:val="clear" w:color="auto" w:fill="auto"/>
            <w:vAlign w:val="center"/>
          </w:tcPr>
          <w:p w14:paraId="6CE56C9A">
            <w:pPr>
              <w:spacing w:line="360" w:lineRule="auto"/>
              <w:jc w:val="center"/>
              <w:rPr>
                <w:rFonts w:ascii="宋体" w:hAnsi="宋体" w:eastAsia="宋体" w:cs="宋体"/>
                <w:color w:val="auto"/>
                <w:spacing w:val="20"/>
                <w:sz w:val="24"/>
                <w:highlight w:val="none"/>
              </w:rPr>
            </w:pPr>
          </w:p>
        </w:tc>
        <w:tc>
          <w:tcPr>
            <w:tcW w:w="1125" w:type="dxa"/>
            <w:shd w:val="clear" w:color="auto" w:fill="auto"/>
            <w:vAlign w:val="center"/>
          </w:tcPr>
          <w:p w14:paraId="38843852">
            <w:pPr>
              <w:spacing w:line="360" w:lineRule="auto"/>
              <w:jc w:val="center"/>
              <w:rPr>
                <w:rFonts w:ascii="宋体" w:hAnsi="宋体" w:eastAsia="宋体" w:cs="宋体"/>
                <w:color w:val="auto"/>
                <w:spacing w:val="20"/>
                <w:sz w:val="24"/>
                <w:highlight w:val="none"/>
              </w:rPr>
            </w:pPr>
          </w:p>
        </w:tc>
        <w:tc>
          <w:tcPr>
            <w:tcW w:w="850" w:type="dxa"/>
            <w:shd w:val="clear" w:color="auto" w:fill="auto"/>
            <w:vAlign w:val="center"/>
          </w:tcPr>
          <w:p w14:paraId="43717CAD">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73C8DF59">
            <w:pPr>
              <w:spacing w:line="360" w:lineRule="auto"/>
              <w:jc w:val="center"/>
              <w:rPr>
                <w:rFonts w:ascii="宋体" w:hAnsi="宋体" w:eastAsia="宋体" w:cs="宋体"/>
                <w:color w:val="auto"/>
                <w:spacing w:val="20"/>
                <w:sz w:val="24"/>
                <w:highlight w:val="none"/>
              </w:rPr>
            </w:pPr>
          </w:p>
        </w:tc>
        <w:tc>
          <w:tcPr>
            <w:tcW w:w="1152" w:type="dxa"/>
            <w:shd w:val="clear" w:color="auto" w:fill="D9D9D9"/>
            <w:vAlign w:val="center"/>
          </w:tcPr>
          <w:p w14:paraId="7C2D45C0">
            <w:pPr>
              <w:spacing w:line="360" w:lineRule="auto"/>
              <w:jc w:val="center"/>
              <w:rPr>
                <w:rFonts w:ascii="宋体" w:hAnsi="宋体" w:eastAsia="宋体" w:cs="宋体"/>
                <w:color w:val="auto"/>
                <w:spacing w:val="20"/>
                <w:sz w:val="24"/>
                <w:highlight w:val="none"/>
              </w:rPr>
            </w:pPr>
          </w:p>
        </w:tc>
        <w:tc>
          <w:tcPr>
            <w:tcW w:w="646" w:type="dxa"/>
            <w:vAlign w:val="center"/>
          </w:tcPr>
          <w:p w14:paraId="6FD9D0A8">
            <w:pPr>
              <w:spacing w:line="360" w:lineRule="auto"/>
              <w:jc w:val="center"/>
              <w:rPr>
                <w:rFonts w:ascii="宋体" w:hAnsi="宋体" w:eastAsia="宋体" w:cs="宋体"/>
                <w:color w:val="auto"/>
                <w:spacing w:val="20"/>
                <w:sz w:val="24"/>
                <w:highlight w:val="none"/>
              </w:rPr>
            </w:pPr>
          </w:p>
        </w:tc>
      </w:tr>
      <w:tr w14:paraId="3BE4F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70849794">
            <w:pPr>
              <w:spacing w:line="360" w:lineRule="auto"/>
              <w:jc w:val="center"/>
              <w:rPr>
                <w:rFonts w:ascii="宋体" w:hAnsi="宋体" w:eastAsia="宋体" w:cs="宋体"/>
                <w:color w:val="auto"/>
                <w:spacing w:val="20"/>
                <w:sz w:val="24"/>
                <w:highlight w:val="none"/>
              </w:rPr>
            </w:pPr>
          </w:p>
        </w:tc>
        <w:tc>
          <w:tcPr>
            <w:tcW w:w="1417" w:type="dxa"/>
            <w:shd w:val="clear" w:color="auto" w:fill="auto"/>
            <w:vAlign w:val="center"/>
          </w:tcPr>
          <w:p w14:paraId="29B80719">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13F50727">
            <w:pPr>
              <w:spacing w:line="360" w:lineRule="auto"/>
              <w:jc w:val="center"/>
              <w:rPr>
                <w:rFonts w:ascii="宋体" w:hAnsi="宋体" w:eastAsia="宋体" w:cs="宋体"/>
                <w:color w:val="auto"/>
                <w:spacing w:val="20"/>
                <w:sz w:val="24"/>
                <w:highlight w:val="none"/>
              </w:rPr>
            </w:pPr>
          </w:p>
        </w:tc>
        <w:tc>
          <w:tcPr>
            <w:tcW w:w="1126" w:type="dxa"/>
            <w:shd w:val="clear" w:color="auto" w:fill="auto"/>
            <w:vAlign w:val="center"/>
          </w:tcPr>
          <w:p w14:paraId="3A201811">
            <w:pPr>
              <w:spacing w:line="360" w:lineRule="auto"/>
              <w:jc w:val="center"/>
              <w:rPr>
                <w:rFonts w:ascii="宋体" w:hAnsi="宋体" w:eastAsia="宋体" w:cs="宋体"/>
                <w:color w:val="auto"/>
                <w:spacing w:val="20"/>
                <w:sz w:val="24"/>
                <w:highlight w:val="none"/>
              </w:rPr>
            </w:pPr>
          </w:p>
        </w:tc>
        <w:tc>
          <w:tcPr>
            <w:tcW w:w="1125" w:type="dxa"/>
            <w:shd w:val="clear" w:color="auto" w:fill="auto"/>
            <w:vAlign w:val="center"/>
          </w:tcPr>
          <w:p w14:paraId="7C482727">
            <w:pPr>
              <w:spacing w:line="360" w:lineRule="auto"/>
              <w:jc w:val="center"/>
              <w:rPr>
                <w:rFonts w:ascii="宋体" w:hAnsi="宋体" w:eastAsia="宋体" w:cs="宋体"/>
                <w:color w:val="auto"/>
                <w:spacing w:val="20"/>
                <w:sz w:val="24"/>
                <w:highlight w:val="none"/>
              </w:rPr>
            </w:pPr>
          </w:p>
        </w:tc>
        <w:tc>
          <w:tcPr>
            <w:tcW w:w="850" w:type="dxa"/>
            <w:shd w:val="clear" w:color="auto" w:fill="auto"/>
            <w:vAlign w:val="center"/>
          </w:tcPr>
          <w:p w14:paraId="77130158">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2F2788AD">
            <w:pPr>
              <w:spacing w:line="360" w:lineRule="auto"/>
              <w:jc w:val="center"/>
              <w:rPr>
                <w:rFonts w:ascii="宋体" w:hAnsi="宋体" w:eastAsia="宋体" w:cs="宋体"/>
                <w:color w:val="auto"/>
                <w:spacing w:val="20"/>
                <w:sz w:val="24"/>
                <w:highlight w:val="none"/>
              </w:rPr>
            </w:pPr>
          </w:p>
        </w:tc>
        <w:tc>
          <w:tcPr>
            <w:tcW w:w="1152" w:type="dxa"/>
            <w:shd w:val="clear" w:color="auto" w:fill="D9D9D9"/>
            <w:vAlign w:val="center"/>
          </w:tcPr>
          <w:p w14:paraId="1AB32A7E">
            <w:pPr>
              <w:spacing w:line="360" w:lineRule="auto"/>
              <w:jc w:val="center"/>
              <w:rPr>
                <w:rFonts w:ascii="宋体" w:hAnsi="宋体" w:eastAsia="宋体" w:cs="宋体"/>
                <w:color w:val="auto"/>
                <w:spacing w:val="20"/>
                <w:sz w:val="24"/>
                <w:highlight w:val="none"/>
              </w:rPr>
            </w:pPr>
          </w:p>
        </w:tc>
        <w:tc>
          <w:tcPr>
            <w:tcW w:w="646" w:type="dxa"/>
            <w:vAlign w:val="center"/>
          </w:tcPr>
          <w:p w14:paraId="6671EED9">
            <w:pPr>
              <w:spacing w:line="360" w:lineRule="auto"/>
              <w:jc w:val="center"/>
              <w:rPr>
                <w:rFonts w:ascii="宋体" w:hAnsi="宋体" w:eastAsia="宋体" w:cs="宋体"/>
                <w:color w:val="auto"/>
                <w:spacing w:val="20"/>
                <w:sz w:val="24"/>
                <w:highlight w:val="none"/>
              </w:rPr>
            </w:pPr>
          </w:p>
        </w:tc>
      </w:tr>
      <w:tr w14:paraId="15E88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5A8519AE">
            <w:pPr>
              <w:spacing w:line="360" w:lineRule="auto"/>
              <w:jc w:val="center"/>
              <w:rPr>
                <w:rFonts w:ascii="宋体" w:hAnsi="宋体" w:eastAsia="宋体" w:cs="宋体"/>
                <w:color w:val="auto"/>
                <w:spacing w:val="20"/>
                <w:sz w:val="24"/>
                <w:highlight w:val="none"/>
              </w:rPr>
            </w:pPr>
          </w:p>
        </w:tc>
        <w:tc>
          <w:tcPr>
            <w:tcW w:w="1417" w:type="dxa"/>
            <w:shd w:val="clear" w:color="auto" w:fill="auto"/>
            <w:vAlign w:val="center"/>
          </w:tcPr>
          <w:p w14:paraId="3F371FB9">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40C8CB2F">
            <w:pPr>
              <w:spacing w:line="360" w:lineRule="auto"/>
              <w:jc w:val="center"/>
              <w:rPr>
                <w:rFonts w:ascii="宋体" w:hAnsi="宋体" w:eastAsia="宋体" w:cs="宋体"/>
                <w:color w:val="auto"/>
                <w:spacing w:val="20"/>
                <w:sz w:val="24"/>
                <w:highlight w:val="none"/>
              </w:rPr>
            </w:pPr>
          </w:p>
        </w:tc>
        <w:tc>
          <w:tcPr>
            <w:tcW w:w="1126" w:type="dxa"/>
            <w:shd w:val="clear" w:color="auto" w:fill="auto"/>
            <w:vAlign w:val="center"/>
          </w:tcPr>
          <w:p w14:paraId="72278EC8">
            <w:pPr>
              <w:spacing w:line="360" w:lineRule="auto"/>
              <w:jc w:val="center"/>
              <w:rPr>
                <w:rFonts w:ascii="宋体" w:hAnsi="宋体" w:eastAsia="宋体" w:cs="宋体"/>
                <w:color w:val="auto"/>
                <w:spacing w:val="20"/>
                <w:sz w:val="24"/>
                <w:highlight w:val="none"/>
              </w:rPr>
            </w:pPr>
          </w:p>
        </w:tc>
        <w:tc>
          <w:tcPr>
            <w:tcW w:w="1125" w:type="dxa"/>
            <w:shd w:val="clear" w:color="auto" w:fill="auto"/>
            <w:vAlign w:val="center"/>
          </w:tcPr>
          <w:p w14:paraId="729D7E26">
            <w:pPr>
              <w:spacing w:line="360" w:lineRule="auto"/>
              <w:jc w:val="center"/>
              <w:rPr>
                <w:rFonts w:ascii="宋体" w:hAnsi="宋体" w:eastAsia="宋体" w:cs="宋体"/>
                <w:color w:val="auto"/>
                <w:spacing w:val="20"/>
                <w:sz w:val="24"/>
                <w:highlight w:val="none"/>
              </w:rPr>
            </w:pPr>
          </w:p>
        </w:tc>
        <w:tc>
          <w:tcPr>
            <w:tcW w:w="850" w:type="dxa"/>
            <w:shd w:val="clear" w:color="auto" w:fill="auto"/>
            <w:vAlign w:val="center"/>
          </w:tcPr>
          <w:p w14:paraId="1EFD5C70">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78CFE610">
            <w:pPr>
              <w:spacing w:line="360" w:lineRule="auto"/>
              <w:jc w:val="center"/>
              <w:rPr>
                <w:rFonts w:ascii="宋体" w:hAnsi="宋体" w:eastAsia="宋体" w:cs="宋体"/>
                <w:color w:val="auto"/>
                <w:spacing w:val="20"/>
                <w:sz w:val="24"/>
                <w:highlight w:val="none"/>
              </w:rPr>
            </w:pPr>
          </w:p>
        </w:tc>
        <w:tc>
          <w:tcPr>
            <w:tcW w:w="1152" w:type="dxa"/>
            <w:shd w:val="clear" w:color="auto" w:fill="D9D9D9"/>
            <w:vAlign w:val="center"/>
          </w:tcPr>
          <w:p w14:paraId="5AB9E88D">
            <w:pPr>
              <w:spacing w:line="360" w:lineRule="auto"/>
              <w:jc w:val="center"/>
              <w:rPr>
                <w:rFonts w:ascii="宋体" w:hAnsi="宋体" w:eastAsia="宋体" w:cs="宋体"/>
                <w:color w:val="auto"/>
                <w:spacing w:val="20"/>
                <w:sz w:val="24"/>
                <w:highlight w:val="none"/>
              </w:rPr>
            </w:pPr>
          </w:p>
        </w:tc>
        <w:tc>
          <w:tcPr>
            <w:tcW w:w="646" w:type="dxa"/>
            <w:vAlign w:val="center"/>
          </w:tcPr>
          <w:p w14:paraId="291B4310">
            <w:pPr>
              <w:spacing w:line="360" w:lineRule="auto"/>
              <w:jc w:val="center"/>
              <w:rPr>
                <w:rFonts w:ascii="宋体" w:hAnsi="宋体" w:eastAsia="宋体" w:cs="宋体"/>
                <w:color w:val="auto"/>
                <w:spacing w:val="20"/>
                <w:sz w:val="24"/>
                <w:highlight w:val="none"/>
              </w:rPr>
            </w:pPr>
          </w:p>
        </w:tc>
      </w:tr>
      <w:tr w14:paraId="41B5C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15AF0470">
            <w:pPr>
              <w:spacing w:line="360" w:lineRule="auto"/>
              <w:jc w:val="center"/>
              <w:rPr>
                <w:rFonts w:ascii="宋体" w:hAnsi="宋体" w:eastAsia="宋体" w:cs="宋体"/>
                <w:color w:val="auto"/>
                <w:spacing w:val="20"/>
                <w:sz w:val="24"/>
                <w:highlight w:val="none"/>
              </w:rPr>
            </w:pPr>
          </w:p>
        </w:tc>
        <w:tc>
          <w:tcPr>
            <w:tcW w:w="1417" w:type="dxa"/>
            <w:shd w:val="clear" w:color="auto" w:fill="auto"/>
            <w:vAlign w:val="center"/>
          </w:tcPr>
          <w:p w14:paraId="764A0AE9">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11917EC3">
            <w:pPr>
              <w:spacing w:line="360" w:lineRule="auto"/>
              <w:jc w:val="center"/>
              <w:rPr>
                <w:rFonts w:ascii="宋体" w:hAnsi="宋体" w:eastAsia="宋体" w:cs="宋体"/>
                <w:color w:val="auto"/>
                <w:spacing w:val="20"/>
                <w:sz w:val="24"/>
                <w:highlight w:val="none"/>
              </w:rPr>
            </w:pPr>
          </w:p>
        </w:tc>
        <w:tc>
          <w:tcPr>
            <w:tcW w:w="1126" w:type="dxa"/>
            <w:shd w:val="clear" w:color="auto" w:fill="auto"/>
            <w:vAlign w:val="center"/>
          </w:tcPr>
          <w:p w14:paraId="15B8CAE5">
            <w:pPr>
              <w:spacing w:line="360" w:lineRule="auto"/>
              <w:jc w:val="center"/>
              <w:rPr>
                <w:rFonts w:ascii="宋体" w:hAnsi="宋体" w:eastAsia="宋体" w:cs="宋体"/>
                <w:color w:val="auto"/>
                <w:spacing w:val="20"/>
                <w:sz w:val="24"/>
                <w:highlight w:val="none"/>
              </w:rPr>
            </w:pPr>
          </w:p>
        </w:tc>
        <w:tc>
          <w:tcPr>
            <w:tcW w:w="1125" w:type="dxa"/>
            <w:shd w:val="clear" w:color="auto" w:fill="auto"/>
            <w:vAlign w:val="center"/>
          </w:tcPr>
          <w:p w14:paraId="6D4C74AD">
            <w:pPr>
              <w:spacing w:line="360" w:lineRule="auto"/>
              <w:jc w:val="center"/>
              <w:rPr>
                <w:rFonts w:ascii="宋体" w:hAnsi="宋体" w:eastAsia="宋体" w:cs="宋体"/>
                <w:color w:val="auto"/>
                <w:spacing w:val="20"/>
                <w:sz w:val="24"/>
                <w:highlight w:val="none"/>
              </w:rPr>
            </w:pPr>
          </w:p>
        </w:tc>
        <w:tc>
          <w:tcPr>
            <w:tcW w:w="850" w:type="dxa"/>
            <w:shd w:val="clear" w:color="auto" w:fill="auto"/>
            <w:vAlign w:val="center"/>
          </w:tcPr>
          <w:p w14:paraId="2925079C">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0CA1C1C5">
            <w:pPr>
              <w:spacing w:line="360" w:lineRule="auto"/>
              <w:jc w:val="center"/>
              <w:rPr>
                <w:rFonts w:ascii="宋体" w:hAnsi="宋体" w:eastAsia="宋体" w:cs="宋体"/>
                <w:color w:val="auto"/>
                <w:spacing w:val="20"/>
                <w:sz w:val="24"/>
                <w:highlight w:val="none"/>
              </w:rPr>
            </w:pPr>
          </w:p>
        </w:tc>
        <w:tc>
          <w:tcPr>
            <w:tcW w:w="1152" w:type="dxa"/>
            <w:shd w:val="clear" w:color="auto" w:fill="D9D9D9"/>
            <w:vAlign w:val="center"/>
          </w:tcPr>
          <w:p w14:paraId="34934ABB">
            <w:pPr>
              <w:spacing w:line="360" w:lineRule="auto"/>
              <w:jc w:val="center"/>
              <w:rPr>
                <w:rFonts w:ascii="宋体" w:hAnsi="宋体" w:eastAsia="宋体" w:cs="宋体"/>
                <w:color w:val="auto"/>
                <w:spacing w:val="20"/>
                <w:sz w:val="24"/>
                <w:highlight w:val="none"/>
              </w:rPr>
            </w:pPr>
          </w:p>
        </w:tc>
        <w:tc>
          <w:tcPr>
            <w:tcW w:w="646" w:type="dxa"/>
            <w:vAlign w:val="center"/>
          </w:tcPr>
          <w:p w14:paraId="11A6A933">
            <w:pPr>
              <w:spacing w:line="360" w:lineRule="auto"/>
              <w:jc w:val="center"/>
              <w:rPr>
                <w:rFonts w:ascii="宋体" w:hAnsi="宋体" w:eastAsia="宋体" w:cs="宋体"/>
                <w:color w:val="auto"/>
                <w:spacing w:val="20"/>
                <w:sz w:val="24"/>
                <w:highlight w:val="none"/>
              </w:rPr>
            </w:pPr>
          </w:p>
        </w:tc>
      </w:tr>
      <w:tr w14:paraId="24A3F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75543332">
            <w:pPr>
              <w:spacing w:line="360" w:lineRule="auto"/>
              <w:jc w:val="center"/>
              <w:rPr>
                <w:rFonts w:ascii="宋体" w:hAnsi="宋体" w:eastAsia="宋体" w:cs="宋体"/>
                <w:color w:val="auto"/>
                <w:spacing w:val="20"/>
                <w:sz w:val="24"/>
                <w:highlight w:val="none"/>
              </w:rPr>
            </w:pPr>
          </w:p>
        </w:tc>
        <w:tc>
          <w:tcPr>
            <w:tcW w:w="1417" w:type="dxa"/>
            <w:shd w:val="clear" w:color="auto" w:fill="auto"/>
            <w:vAlign w:val="center"/>
          </w:tcPr>
          <w:p w14:paraId="3A3CF1F6">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4F1B3A51">
            <w:pPr>
              <w:spacing w:line="360" w:lineRule="auto"/>
              <w:jc w:val="center"/>
              <w:rPr>
                <w:rFonts w:ascii="宋体" w:hAnsi="宋体" w:eastAsia="宋体" w:cs="宋体"/>
                <w:color w:val="auto"/>
                <w:spacing w:val="20"/>
                <w:sz w:val="24"/>
                <w:highlight w:val="none"/>
              </w:rPr>
            </w:pPr>
          </w:p>
        </w:tc>
        <w:tc>
          <w:tcPr>
            <w:tcW w:w="1126" w:type="dxa"/>
            <w:shd w:val="clear" w:color="auto" w:fill="auto"/>
            <w:vAlign w:val="center"/>
          </w:tcPr>
          <w:p w14:paraId="629907FF">
            <w:pPr>
              <w:spacing w:line="360" w:lineRule="auto"/>
              <w:jc w:val="center"/>
              <w:rPr>
                <w:rFonts w:ascii="宋体" w:hAnsi="宋体" w:eastAsia="宋体" w:cs="宋体"/>
                <w:color w:val="auto"/>
                <w:spacing w:val="20"/>
                <w:sz w:val="24"/>
                <w:highlight w:val="none"/>
              </w:rPr>
            </w:pPr>
          </w:p>
        </w:tc>
        <w:tc>
          <w:tcPr>
            <w:tcW w:w="1125" w:type="dxa"/>
            <w:shd w:val="clear" w:color="auto" w:fill="auto"/>
            <w:vAlign w:val="center"/>
          </w:tcPr>
          <w:p w14:paraId="23D4A1EC">
            <w:pPr>
              <w:spacing w:line="360" w:lineRule="auto"/>
              <w:jc w:val="center"/>
              <w:rPr>
                <w:rFonts w:ascii="宋体" w:hAnsi="宋体" w:eastAsia="宋体" w:cs="宋体"/>
                <w:color w:val="auto"/>
                <w:spacing w:val="20"/>
                <w:sz w:val="24"/>
                <w:highlight w:val="none"/>
              </w:rPr>
            </w:pPr>
          </w:p>
        </w:tc>
        <w:tc>
          <w:tcPr>
            <w:tcW w:w="850" w:type="dxa"/>
            <w:shd w:val="clear" w:color="auto" w:fill="auto"/>
            <w:vAlign w:val="center"/>
          </w:tcPr>
          <w:p w14:paraId="2F549DDF">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5C394442">
            <w:pPr>
              <w:spacing w:line="360" w:lineRule="auto"/>
              <w:jc w:val="center"/>
              <w:rPr>
                <w:rFonts w:ascii="宋体" w:hAnsi="宋体" w:eastAsia="宋体" w:cs="宋体"/>
                <w:color w:val="auto"/>
                <w:spacing w:val="20"/>
                <w:sz w:val="24"/>
                <w:highlight w:val="none"/>
              </w:rPr>
            </w:pPr>
          </w:p>
        </w:tc>
        <w:tc>
          <w:tcPr>
            <w:tcW w:w="1152" w:type="dxa"/>
            <w:shd w:val="clear" w:color="auto" w:fill="D9D9D9"/>
            <w:vAlign w:val="center"/>
          </w:tcPr>
          <w:p w14:paraId="1BFC866C">
            <w:pPr>
              <w:spacing w:line="360" w:lineRule="auto"/>
              <w:jc w:val="center"/>
              <w:rPr>
                <w:rFonts w:ascii="宋体" w:hAnsi="宋体" w:eastAsia="宋体" w:cs="宋体"/>
                <w:color w:val="auto"/>
                <w:spacing w:val="20"/>
                <w:sz w:val="24"/>
                <w:highlight w:val="none"/>
              </w:rPr>
            </w:pPr>
          </w:p>
        </w:tc>
        <w:tc>
          <w:tcPr>
            <w:tcW w:w="646" w:type="dxa"/>
            <w:vAlign w:val="center"/>
          </w:tcPr>
          <w:p w14:paraId="41BDAD09">
            <w:pPr>
              <w:spacing w:line="360" w:lineRule="auto"/>
              <w:jc w:val="center"/>
              <w:rPr>
                <w:rFonts w:ascii="宋体" w:hAnsi="宋体" w:eastAsia="宋体" w:cs="宋体"/>
                <w:color w:val="auto"/>
                <w:spacing w:val="20"/>
                <w:sz w:val="24"/>
                <w:highlight w:val="none"/>
              </w:rPr>
            </w:pPr>
          </w:p>
        </w:tc>
      </w:tr>
      <w:tr w14:paraId="7A477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4143E471">
            <w:pPr>
              <w:spacing w:line="360" w:lineRule="auto"/>
              <w:jc w:val="center"/>
              <w:rPr>
                <w:rFonts w:ascii="宋体" w:hAnsi="宋体" w:eastAsia="宋体" w:cs="宋体"/>
                <w:color w:val="auto"/>
                <w:spacing w:val="20"/>
                <w:sz w:val="24"/>
                <w:highlight w:val="none"/>
              </w:rPr>
            </w:pPr>
          </w:p>
        </w:tc>
        <w:tc>
          <w:tcPr>
            <w:tcW w:w="1417" w:type="dxa"/>
            <w:shd w:val="clear" w:color="auto" w:fill="auto"/>
            <w:vAlign w:val="center"/>
          </w:tcPr>
          <w:p w14:paraId="649FABCC">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5C8EAEC3">
            <w:pPr>
              <w:spacing w:line="360" w:lineRule="auto"/>
              <w:jc w:val="center"/>
              <w:rPr>
                <w:rFonts w:ascii="宋体" w:hAnsi="宋体" w:eastAsia="宋体" w:cs="宋体"/>
                <w:color w:val="auto"/>
                <w:spacing w:val="20"/>
                <w:sz w:val="24"/>
                <w:highlight w:val="none"/>
              </w:rPr>
            </w:pPr>
          </w:p>
        </w:tc>
        <w:tc>
          <w:tcPr>
            <w:tcW w:w="1126" w:type="dxa"/>
            <w:shd w:val="clear" w:color="auto" w:fill="auto"/>
            <w:vAlign w:val="center"/>
          </w:tcPr>
          <w:p w14:paraId="68D36021">
            <w:pPr>
              <w:spacing w:line="360" w:lineRule="auto"/>
              <w:jc w:val="center"/>
              <w:rPr>
                <w:rFonts w:ascii="宋体" w:hAnsi="宋体" w:eastAsia="宋体" w:cs="宋体"/>
                <w:color w:val="auto"/>
                <w:spacing w:val="20"/>
                <w:sz w:val="24"/>
                <w:highlight w:val="none"/>
              </w:rPr>
            </w:pPr>
          </w:p>
        </w:tc>
        <w:tc>
          <w:tcPr>
            <w:tcW w:w="1125" w:type="dxa"/>
            <w:shd w:val="clear" w:color="auto" w:fill="auto"/>
            <w:vAlign w:val="center"/>
          </w:tcPr>
          <w:p w14:paraId="101BC468">
            <w:pPr>
              <w:spacing w:line="360" w:lineRule="auto"/>
              <w:jc w:val="center"/>
              <w:rPr>
                <w:rFonts w:ascii="宋体" w:hAnsi="宋体" w:eastAsia="宋体" w:cs="宋体"/>
                <w:color w:val="auto"/>
                <w:spacing w:val="20"/>
                <w:sz w:val="24"/>
                <w:highlight w:val="none"/>
              </w:rPr>
            </w:pPr>
          </w:p>
        </w:tc>
        <w:tc>
          <w:tcPr>
            <w:tcW w:w="850" w:type="dxa"/>
            <w:shd w:val="clear" w:color="auto" w:fill="auto"/>
            <w:vAlign w:val="center"/>
          </w:tcPr>
          <w:p w14:paraId="144A8B46">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0ACDA678">
            <w:pPr>
              <w:spacing w:line="360" w:lineRule="auto"/>
              <w:jc w:val="center"/>
              <w:rPr>
                <w:rFonts w:ascii="宋体" w:hAnsi="宋体" w:eastAsia="宋体" w:cs="宋体"/>
                <w:color w:val="auto"/>
                <w:spacing w:val="20"/>
                <w:sz w:val="24"/>
                <w:highlight w:val="none"/>
              </w:rPr>
            </w:pPr>
          </w:p>
        </w:tc>
        <w:tc>
          <w:tcPr>
            <w:tcW w:w="1152" w:type="dxa"/>
            <w:shd w:val="clear" w:color="auto" w:fill="D9D9D9"/>
            <w:vAlign w:val="center"/>
          </w:tcPr>
          <w:p w14:paraId="0E77F940">
            <w:pPr>
              <w:spacing w:line="360" w:lineRule="auto"/>
              <w:jc w:val="center"/>
              <w:rPr>
                <w:rFonts w:ascii="宋体" w:hAnsi="宋体" w:eastAsia="宋体" w:cs="宋体"/>
                <w:color w:val="auto"/>
                <w:spacing w:val="20"/>
                <w:sz w:val="24"/>
                <w:highlight w:val="none"/>
              </w:rPr>
            </w:pPr>
          </w:p>
        </w:tc>
        <w:tc>
          <w:tcPr>
            <w:tcW w:w="646" w:type="dxa"/>
            <w:vAlign w:val="center"/>
          </w:tcPr>
          <w:p w14:paraId="2BA1D3CF">
            <w:pPr>
              <w:spacing w:line="360" w:lineRule="auto"/>
              <w:jc w:val="center"/>
              <w:rPr>
                <w:rFonts w:ascii="宋体" w:hAnsi="宋体" w:eastAsia="宋体" w:cs="宋体"/>
                <w:color w:val="auto"/>
                <w:spacing w:val="20"/>
                <w:sz w:val="24"/>
                <w:highlight w:val="none"/>
              </w:rPr>
            </w:pPr>
          </w:p>
        </w:tc>
      </w:tr>
      <w:tr w14:paraId="6EBFB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09" w:type="dxa"/>
            <w:shd w:val="clear" w:color="auto" w:fill="auto"/>
            <w:vAlign w:val="center"/>
          </w:tcPr>
          <w:p w14:paraId="21DD429D">
            <w:pPr>
              <w:spacing w:line="360" w:lineRule="auto"/>
              <w:jc w:val="center"/>
              <w:rPr>
                <w:rFonts w:ascii="宋体" w:hAnsi="宋体" w:eastAsia="宋体" w:cs="宋体"/>
                <w:color w:val="auto"/>
                <w:spacing w:val="20"/>
                <w:sz w:val="24"/>
                <w:highlight w:val="none"/>
              </w:rPr>
            </w:pPr>
          </w:p>
        </w:tc>
        <w:tc>
          <w:tcPr>
            <w:tcW w:w="1417" w:type="dxa"/>
            <w:shd w:val="clear" w:color="auto" w:fill="auto"/>
            <w:vAlign w:val="center"/>
          </w:tcPr>
          <w:p w14:paraId="405140A6">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082A0251">
            <w:pPr>
              <w:spacing w:line="360" w:lineRule="auto"/>
              <w:jc w:val="center"/>
              <w:rPr>
                <w:rFonts w:ascii="宋体" w:hAnsi="宋体" w:eastAsia="宋体" w:cs="宋体"/>
                <w:color w:val="auto"/>
                <w:spacing w:val="20"/>
                <w:sz w:val="24"/>
                <w:highlight w:val="none"/>
              </w:rPr>
            </w:pPr>
          </w:p>
        </w:tc>
        <w:tc>
          <w:tcPr>
            <w:tcW w:w="1126" w:type="dxa"/>
            <w:shd w:val="clear" w:color="auto" w:fill="auto"/>
            <w:vAlign w:val="center"/>
          </w:tcPr>
          <w:p w14:paraId="4EA78104">
            <w:pPr>
              <w:spacing w:line="360" w:lineRule="auto"/>
              <w:jc w:val="center"/>
              <w:rPr>
                <w:rFonts w:ascii="宋体" w:hAnsi="宋体" w:eastAsia="宋体" w:cs="宋体"/>
                <w:color w:val="auto"/>
                <w:spacing w:val="20"/>
                <w:sz w:val="24"/>
                <w:highlight w:val="none"/>
              </w:rPr>
            </w:pPr>
          </w:p>
        </w:tc>
        <w:tc>
          <w:tcPr>
            <w:tcW w:w="1125" w:type="dxa"/>
            <w:shd w:val="clear" w:color="auto" w:fill="auto"/>
            <w:vAlign w:val="center"/>
          </w:tcPr>
          <w:p w14:paraId="0B0D5B03">
            <w:pPr>
              <w:spacing w:line="360" w:lineRule="auto"/>
              <w:jc w:val="center"/>
              <w:rPr>
                <w:rFonts w:ascii="宋体" w:hAnsi="宋体" w:eastAsia="宋体" w:cs="宋体"/>
                <w:color w:val="auto"/>
                <w:spacing w:val="20"/>
                <w:sz w:val="24"/>
                <w:highlight w:val="none"/>
              </w:rPr>
            </w:pPr>
          </w:p>
        </w:tc>
        <w:tc>
          <w:tcPr>
            <w:tcW w:w="850" w:type="dxa"/>
            <w:shd w:val="clear" w:color="auto" w:fill="auto"/>
            <w:vAlign w:val="center"/>
          </w:tcPr>
          <w:p w14:paraId="1A692C6D">
            <w:pPr>
              <w:spacing w:line="360" w:lineRule="auto"/>
              <w:jc w:val="center"/>
              <w:rPr>
                <w:rFonts w:ascii="宋体" w:hAnsi="宋体" w:eastAsia="宋体" w:cs="宋体"/>
                <w:color w:val="auto"/>
                <w:spacing w:val="20"/>
                <w:sz w:val="24"/>
                <w:highlight w:val="none"/>
              </w:rPr>
            </w:pPr>
          </w:p>
        </w:tc>
        <w:tc>
          <w:tcPr>
            <w:tcW w:w="1134" w:type="dxa"/>
            <w:shd w:val="clear" w:color="auto" w:fill="auto"/>
            <w:vAlign w:val="center"/>
          </w:tcPr>
          <w:p w14:paraId="4FDA1D20">
            <w:pPr>
              <w:spacing w:line="360" w:lineRule="auto"/>
              <w:jc w:val="center"/>
              <w:rPr>
                <w:rFonts w:ascii="宋体" w:hAnsi="宋体" w:eastAsia="宋体" w:cs="宋体"/>
                <w:color w:val="auto"/>
                <w:spacing w:val="20"/>
                <w:sz w:val="24"/>
                <w:highlight w:val="none"/>
              </w:rPr>
            </w:pPr>
          </w:p>
        </w:tc>
        <w:tc>
          <w:tcPr>
            <w:tcW w:w="1152" w:type="dxa"/>
            <w:shd w:val="clear" w:color="auto" w:fill="D9D9D9"/>
            <w:vAlign w:val="center"/>
          </w:tcPr>
          <w:p w14:paraId="7D9C320F">
            <w:pPr>
              <w:spacing w:line="360" w:lineRule="auto"/>
              <w:jc w:val="center"/>
              <w:rPr>
                <w:rFonts w:ascii="宋体" w:hAnsi="宋体" w:eastAsia="宋体" w:cs="宋体"/>
                <w:color w:val="auto"/>
                <w:spacing w:val="20"/>
                <w:sz w:val="24"/>
                <w:highlight w:val="none"/>
              </w:rPr>
            </w:pPr>
          </w:p>
        </w:tc>
        <w:tc>
          <w:tcPr>
            <w:tcW w:w="646" w:type="dxa"/>
            <w:vAlign w:val="center"/>
          </w:tcPr>
          <w:p w14:paraId="6C3956B1">
            <w:pPr>
              <w:spacing w:line="360" w:lineRule="auto"/>
              <w:jc w:val="center"/>
              <w:rPr>
                <w:rFonts w:ascii="宋体" w:hAnsi="宋体" w:eastAsia="宋体" w:cs="宋体"/>
                <w:color w:val="auto"/>
                <w:spacing w:val="20"/>
                <w:sz w:val="24"/>
                <w:highlight w:val="none"/>
              </w:rPr>
            </w:pPr>
          </w:p>
        </w:tc>
      </w:tr>
    </w:tbl>
    <w:p w14:paraId="4CF0E579">
      <w:pPr>
        <w:pStyle w:val="51"/>
        <w:snapToGrid w:val="0"/>
        <w:ind w:firstLine="464" w:firstLineChars="200"/>
        <w:rPr>
          <w:rFonts w:hAnsi="宋体" w:cs="宋体"/>
          <w:color w:val="auto"/>
          <w:sz w:val="24"/>
          <w:szCs w:val="24"/>
          <w:highlight w:val="none"/>
        </w:rPr>
      </w:pPr>
      <w:r>
        <w:rPr>
          <w:rFonts w:hint="eastAsia" w:hAnsi="宋体" w:cs="宋体"/>
          <w:color w:val="auto"/>
          <w:sz w:val="24"/>
          <w:szCs w:val="24"/>
          <w:highlight w:val="none"/>
        </w:rPr>
        <w:t>注：1、投标人可按上述的格式自行编制，须随表提交相应的合同复印件并注明所在投标人资信文件页码。</w:t>
      </w:r>
    </w:p>
    <w:p w14:paraId="50A0344A">
      <w:pPr>
        <w:pStyle w:val="51"/>
        <w:snapToGrid w:val="0"/>
        <w:spacing w:line="360" w:lineRule="auto"/>
        <w:rPr>
          <w:rFonts w:hAnsi="宋体" w:cs="宋体"/>
          <w:snapToGrid w:val="0"/>
          <w:color w:val="auto"/>
          <w:sz w:val="24"/>
          <w:szCs w:val="24"/>
          <w:highlight w:val="none"/>
        </w:rPr>
      </w:pPr>
    </w:p>
    <w:p w14:paraId="2D02D2DA">
      <w:pPr>
        <w:pStyle w:val="51"/>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投标人（盖公章）：</w:t>
      </w:r>
    </w:p>
    <w:p w14:paraId="605FB21C">
      <w:pPr>
        <w:pStyle w:val="51"/>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法定代表人（负责人）或其委托代理人（签字或盖章）：</w:t>
      </w:r>
    </w:p>
    <w:p w14:paraId="5240CFDC">
      <w:pPr>
        <w:pStyle w:val="51"/>
        <w:snapToGrid w:val="0"/>
        <w:spacing w:line="360" w:lineRule="auto"/>
        <w:rPr>
          <w:rFonts w:hAnsi="宋体" w:cs="宋体"/>
          <w:color w:val="auto"/>
          <w:sz w:val="24"/>
          <w:szCs w:val="24"/>
          <w:highlight w:val="none"/>
        </w:rPr>
      </w:pPr>
      <w:r>
        <w:rPr>
          <w:rFonts w:hint="eastAsia" w:hAnsi="宋体" w:cs="宋体"/>
          <w:snapToGrid w:val="0"/>
          <w:color w:val="auto"/>
          <w:sz w:val="24"/>
          <w:szCs w:val="24"/>
          <w:highlight w:val="none"/>
        </w:rPr>
        <w:t>日期：</w:t>
      </w:r>
      <w:r>
        <w:rPr>
          <w:rFonts w:hint="eastAsia" w:hAnsi="宋体" w:cs="宋体"/>
          <w:color w:val="auto"/>
          <w:sz w:val="24"/>
          <w:szCs w:val="24"/>
          <w:highlight w:val="none"/>
        </w:rPr>
        <w:t xml:space="preserve">      年    月    日</w:t>
      </w:r>
    </w:p>
    <w:p w14:paraId="1B731626">
      <w:pPr>
        <w:pStyle w:val="51"/>
        <w:adjustRightInd w:val="0"/>
        <w:snapToGrid w:val="0"/>
        <w:spacing w:line="360" w:lineRule="auto"/>
        <w:jc w:val="center"/>
        <w:rPr>
          <w:rFonts w:hAnsi="宋体" w:cs="宋体"/>
          <w:b/>
          <w:bCs/>
          <w:color w:val="auto"/>
          <w:sz w:val="24"/>
          <w:szCs w:val="24"/>
          <w:highlight w:val="none"/>
        </w:rPr>
      </w:pPr>
    </w:p>
    <w:p w14:paraId="29256083">
      <w:pPr>
        <w:pStyle w:val="51"/>
        <w:adjustRightInd w:val="0"/>
        <w:snapToGrid w:val="0"/>
        <w:spacing w:line="360" w:lineRule="auto"/>
        <w:jc w:val="center"/>
        <w:rPr>
          <w:rFonts w:hAnsi="宋体" w:cs="宋体"/>
          <w:b/>
          <w:bCs/>
          <w:color w:val="auto"/>
          <w:sz w:val="24"/>
          <w:szCs w:val="24"/>
          <w:highlight w:val="none"/>
        </w:rPr>
      </w:pPr>
    </w:p>
    <w:p w14:paraId="19F4379E">
      <w:pPr>
        <w:pStyle w:val="51"/>
        <w:adjustRightInd w:val="0"/>
        <w:snapToGrid w:val="0"/>
        <w:spacing w:line="360" w:lineRule="auto"/>
        <w:jc w:val="center"/>
        <w:rPr>
          <w:rFonts w:hAnsi="宋体" w:cs="宋体"/>
          <w:b/>
          <w:bCs/>
          <w:color w:val="auto"/>
          <w:sz w:val="24"/>
          <w:szCs w:val="24"/>
          <w:highlight w:val="none"/>
        </w:rPr>
      </w:pPr>
    </w:p>
    <w:p w14:paraId="49065A73">
      <w:pPr>
        <w:pStyle w:val="51"/>
        <w:adjustRightInd w:val="0"/>
        <w:snapToGrid w:val="0"/>
        <w:spacing w:line="360" w:lineRule="auto"/>
        <w:jc w:val="center"/>
        <w:rPr>
          <w:rFonts w:hAnsi="宋体" w:cs="宋体"/>
          <w:b/>
          <w:bCs/>
          <w:color w:val="auto"/>
          <w:sz w:val="24"/>
          <w:szCs w:val="24"/>
          <w:highlight w:val="none"/>
        </w:rPr>
      </w:pPr>
    </w:p>
    <w:p w14:paraId="13C8D482">
      <w:pPr>
        <w:pStyle w:val="51"/>
        <w:adjustRightInd w:val="0"/>
        <w:snapToGrid w:val="0"/>
        <w:spacing w:line="360" w:lineRule="auto"/>
        <w:jc w:val="center"/>
        <w:rPr>
          <w:rFonts w:hAnsi="宋体" w:cs="宋体"/>
          <w:b/>
          <w:bCs/>
          <w:color w:val="auto"/>
          <w:sz w:val="24"/>
          <w:szCs w:val="24"/>
          <w:highlight w:val="none"/>
        </w:rPr>
      </w:pPr>
    </w:p>
    <w:p w14:paraId="1A8D33D4">
      <w:pPr>
        <w:pStyle w:val="51"/>
        <w:adjustRightInd w:val="0"/>
        <w:snapToGrid w:val="0"/>
        <w:spacing w:line="360" w:lineRule="auto"/>
        <w:jc w:val="center"/>
        <w:rPr>
          <w:rFonts w:hAnsi="宋体" w:cs="宋体"/>
          <w:color w:val="auto"/>
          <w:sz w:val="24"/>
          <w:szCs w:val="24"/>
          <w:highlight w:val="none"/>
        </w:rPr>
      </w:pPr>
      <w:r>
        <w:rPr>
          <w:rFonts w:hint="eastAsia" w:hAnsi="宋体" w:cs="宋体"/>
          <w:b/>
          <w:bCs/>
          <w:color w:val="auto"/>
          <w:sz w:val="24"/>
          <w:szCs w:val="24"/>
          <w:highlight w:val="none"/>
        </w:rPr>
        <w:t>三、诚信廉洁承诺函</w:t>
      </w:r>
      <w:r>
        <w:rPr>
          <w:rFonts w:hint="eastAsia" w:hAnsi="宋体" w:cs="宋体"/>
          <w:color w:val="auto"/>
          <w:sz w:val="24"/>
          <w:szCs w:val="24"/>
          <w:highlight w:val="none"/>
        </w:rPr>
        <w:t>（格式仅供招标人参考）</w:t>
      </w:r>
    </w:p>
    <w:p w14:paraId="360A1320">
      <w:pPr>
        <w:pStyle w:val="8"/>
        <w:rPr>
          <w:rFonts w:ascii="宋体" w:hAnsi="宋体" w:cs="宋体"/>
          <w:color w:val="auto"/>
          <w:sz w:val="24"/>
          <w:szCs w:val="24"/>
          <w:highlight w:val="none"/>
        </w:rPr>
      </w:pPr>
      <w:r>
        <w:rPr>
          <w:rFonts w:hint="eastAsia" w:ascii="宋体" w:hAnsi="宋体" w:cs="宋体"/>
          <w:color w:val="auto"/>
          <w:sz w:val="24"/>
          <w:szCs w:val="24"/>
          <w:highlight w:val="none"/>
          <w:u w:val="single"/>
        </w:rPr>
        <w:t>（招标人名称）</w:t>
      </w:r>
      <w:r>
        <w:rPr>
          <w:rFonts w:hint="eastAsia" w:ascii="宋体" w:hAnsi="宋体" w:cs="宋体"/>
          <w:b/>
          <w:bCs/>
          <w:color w:val="auto"/>
          <w:sz w:val="24"/>
          <w:szCs w:val="24"/>
          <w:highlight w:val="none"/>
        </w:rPr>
        <w:t>：</w:t>
      </w:r>
    </w:p>
    <w:p w14:paraId="3B8C7490">
      <w:pPr>
        <w:spacing w:line="360" w:lineRule="exact"/>
        <w:ind w:firstLine="696" w:firstLineChars="300"/>
        <w:jc w:val="left"/>
        <w:rPr>
          <w:rFonts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承诺提供的信息（含投标资料、各项应答及承诺）是真实可靠，并能在价格有效期内忠实履行的。</w:t>
      </w:r>
    </w:p>
    <w:p w14:paraId="16608C29">
      <w:pPr>
        <w:spacing w:line="360" w:lineRule="exact"/>
        <w:ind w:firstLine="696" w:firstLineChars="300"/>
        <w:jc w:val="left"/>
        <w:rPr>
          <w:rFonts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承诺在双方签订的采购合同中有以下条款：如经招标人查实，投标人在投标时针对本项目提供不实信息，或投标时所做的应答及承诺在中标后无法有效履行，招标人有权终止已签订的合同，没收中标方的履约保证金、单方面解除合同、暂停其投标人资格、暂停其所有款项的支付，如由此给招标人带来损失的，还应赔偿招标人的损失。</w:t>
      </w:r>
    </w:p>
    <w:p w14:paraId="10EDBE30">
      <w:pPr>
        <w:spacing w:line="360" w:lineRule="exact"/>
        <w:ind w:firstLine="696" w:firstLineChars="300"/>
        <w:jc w:val="left"/>
        <w:rPr>
          <w:rFonts w:ascii="宋体" w:hAnsi="宋体" w:eastAsia="宋体" w:cs="宋体"/>
          <w:color w:val="auto"/>
          <w:sz w:val="24"/>
          <w:highlight w:val="none"/>
        </w:rPr>
      </w:pPr>
      <w:r>
        <w:rPr>
          <w:rFonts w:hint="eastAsia" w:ascii="宋体" w:hAnsi="宋体" w:eastAsia="宋体" w:cs="宋体"/>
          <w:color w:val="auto"/>
          <w:sz w:val="24"/>
          <w:highlight w:val="none"/>
          <w:u w:val="single"/>
        </w:rPr>
        <w:t>（投标人名称）</w:t>
      </w:r>
      <w:r>
        <w:rPr>
          <w:rFonts w:hint="eastAsia" w:ascii="宋体" w:hAnsi="宋体" w:eastAsia="宋体" w:cs="宋体"/>
          <w:color w:val="auto"/>
          <w:sz w:val="24"/>
          <w:highlight w:val="none"/>
        </w:rPr>
        <w:t>承诺不对招标相关工作人员行贿，如投标人对招标相关工作人员行贿的，则招标人有权解除本合同，要求投标人赔偿因此所造成的损失；并保留在相关媒体或网站等对外发布的权利。</w:t>
      </w:r>
    </w:p>
    <w:p w14:paraId="0BA6013F">
      <w:pPr>
        <w:spacing w:line="360" w:lineRule="auto"/>
        <w:jc w:val="center"/>
        <w:rPr>
          <w:rFonts w:ascii="宋体" w:hAnsi="宋体" w:eastAsia="宋体" w:cs="宋体"/>
          <w:color w:val="auto"/>
          <w:sz w:val="24"/>
          <w:highlight w:val="none"/>
        </w:rPr>
      </w:pPr>
    </w:p>
    <w:p w14:paraId="7A8A7E23">
      <w:pPr>
        <w:spacing w:line="360" w:lineRule="auto"/>
        <w:jc w:val="center"/>
        <w:rPr>
          <w:rFonts w:ascii="宋体" w:hAnsi="宋体" w:eastAsia="宋体" w:cs="宋体"/>
          <w:color w:val="auto"/>
          <w:sz w:val="24"/>
          <w:highlight w:val="none"/>
        </w:rPr>
      </w:pPr>
    </w:p>
    <w:p w14:paraId="2E160405">
      <w:pPr>
        <w:rPr>
          <w:rFonts w:ascii="宋体" w:hAnsi="宋体" w:eastAsia="宋体" w:cs="宋体"/>
          <w:color w:val="auto"/>
          <w:sz w:val="24"/>
          <w:highlight w:val="none"/>
        </w:rPr>
      </w:pPr>
    </w:p>
    <w:p w14:paraId="1DA4FEAC">
      <w:pPr>
        <w:rPr>
          <w:rFonts w:ascii="宋体" w:hAnsi="宋体" w:eastAsia="宋体" w:cs="宋体"/>
          <w:color w:val="auto"/>
          <w:sz w:val="24"/>
          <w:highlight w:val="none"/>
        </w:rPr>
      </w:pPr>
    </w:p>
    <w:p w14:paraId="5DCAD191">
      <w:pPr>
        <w:rPr>
          <w:rFonts w:ascii="宋体" w:hAnsi="宋体" w:eastAsia="宋体" w:cs="宋体"/>
          <w:color w:val="auto"/>
          <w:sz w:val="24"/>
          <w:highlight w:val="none"/>
        </w:rPr>
      </w:pPr>
    </w:p>
    <w:p w14:paraId="48D693A6">
      <w:pPr>
        <w:pStyle w:val="13"/>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投标人（盖公章）：</w:t>
      </w:r>
    </w:p>
    <w:p w14:paraId="6AEB1753">
      <w:pPr>
        <w:pStyle w:val="13"/>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法定代表人（负责人）或其委托代理人（签字或盖章）：</w:t>
      </w:r>
    </w:p>
    <w:p w14:paraId="57EACB0E">
      <w:pPr>
        <w:pStyle w:val="51"/>
        <w:adjustRightInd w:val="0"/>
        <w:snapToGrid w:val="0"/>
        <w:spacing w:line="360" w:lineRule="auto"/>
        <w:rPr>
          <w:rFonts w:hAnsi="宋体" w:cs="宋体"/>
          <w:color w:val="auto"/>
          <w:sz w:val="24"/>
          <w:szCs w:val="24"/>
          <w:highlight w:val="none"/>
        </w:rPr>
      </w:pPr>
      <w:r>
        <w:rPr>
          <w:rFonts w:hint="eastAsia" w:hAnsi="宋体" w:cs="宋体"/>
          <w:snapToGrid w:val="0"/>
          <w:color w:val="auto"/>
          <w:sz w:val="24"/>
          <w:szCs w:val="24"/>
          <w:highlight w:val="none"/>
        </w:rPr>
        <w:t>日期：</w:t>
      </w:r>
      <w:r>
        <w:rPr>
          <w:rFonts w:hint="eastAsia" w:hAnsi="宋体" w:cs="宋体"/>
          <w:color w:val="auto"/>
          <w:sz w:val="24"/>
          <w:szCs w:val="24"/>
          <w:highlight w:val="none"/>
        </w:rPr>
        <w:t xml:space="preserve">      年    月    日</w:t>
      </w:r>
    </w:p>
    <w:p w14:paraId="657CB452">
      <w:pPr>
        <w:pStyle w:val="5"/>
        <w:jc w:val="center"/>
        <w:rPr>
          <w:rFonts w:cs="宋体"/>
          <w:color w:val="auto"/>
          <w:sz w:val="24"/>
          <w:szCs w:val="24"/>
          <w:highlight w:val="none"/>
        </w:rPr>
      </w:pPr>
    </w:p>
    <w:p w14:paraId="7C1E9EA1">
      <w:pPr>
        <w:pStyle w:val="5"/>
        <w:jc w:val="center"/>
        <w:rPr>
          <w:rFonts w:cs="宋体"/>
          <w:color w:val="auto"/>
          <w:sz w:val="24"/>
          <w:szCs w:val="24"/>
          <w:highlight w:val="none"/>
        </w:rPr>
      </w:pPr>
    </w:p>
    <w:p w14:paraId="3DB87575">
      <w:pPr>
        <w:pStyle w:val="5"/>
        <w:jc w:val="center"/>
        <w:rPr>
          <w:rFonts w:cs="宋体"/>
          <w:color w:val="auto"/>
          <w:sz w:val="24"/>
          <w:szCs w:val="24"/>
          <w:highlight w:val="none"/>
        </w:rPr>
      </w:pPr>
    </w:p>
    <w:p w14:paraId="687EE3CA">
      <w:pPr>
        <w:pStyle w:val="5"/>
        <w:jc w:val="center"/>
        <w:rPr>
          <w:rFonts w:cs="宋体"/>
          <w:color w:val="auto"/>
          <w:sz w:val="24"/>
          <w:szCs w:val="24"/>
          <w:highlight w:val="none"/>
        </w:rPr>
      </w:pPr>
    </w:p>
    <w:p w14:paraId="66F5B7DD">
      <w:pPr>
        <w:pStyle w:val="5"/>
        <w:jc w:val="center"/>
        <w:rPr>
          <w:rFonts w:cs="宋体"/>
          <w:color w:val="auto"/>
          <w:sz w:val="24"/>
          <w:szCs w:val="24"/>
          <w:highlight w:val="none"/>
        </w:rPr>
      </w:pPr>
    </w:p>
    <w:p w14:paraId="7B9B804F">
      <w:pPr>
        <w:spacing w:line="360" w:lineRule="auto"/>
        <w:jc w:val="center"/>
        <w:rPr>
          <w:rFonts w:ascii="宋体" w:hAnsi="宋体" w:eastAsia="宋体" w:cs="宋体"/>
          <w:b/>
          <w:bCs/>
          <w:color w:val="auto"/>
          <w:kern w:val="0"/>
          <w:sz w:val="24"/>
          <w:highlight w:val="none"/>
        </w:rPr>
      </w:pPr>
    </w:p>
    <w:p w14:paraId="17964D8A">
      <w:pPr>
        <w:adjustRightInd w:val="0"/>
        <w:snapToGrid w:val="0"/>
        <w:spacing w:line="360" w:lineRule="auto"/>
        <w:outlineLvl w:val="1"/>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四、投标人认为有必要的其他内容等</w:t>
      </w:r>
    </w:p>
    <w:p w14:paraId="7C295DE7">
      <w:pPr>
        <w:adjustRightInd w:val="0"/>
        <w:snapToGrid w:val="0"/>
        <w:spacing w:line="360" w:lineRule="auto"/>
        <w:outlineLvl w:val="1"/>
        <w:rPr>
          <w:rFonts w:ascii="宋体" w:hAnsi="宋体" w:eastAsia="宋体" w:cs="宋体"/>
          <w:color w:val="auto"/>
          <w:sz w:val="24"/>
          <w:highlight w:val="none"/>
        </w:rPr>
      </w:pPr>
    </w:p>
    <w:p w14:paraId="5A045EA7">
      <w:pPr>
        <w:adjustRightInd w:val="0"/>
        <w:snapToGrid w:val="0"/>
        <w:spacing w:line="360" w:lineRule="auto"/>
        <w:outlineLvl w:val="1"/>
        <w:rPr>
          <w:rFonts w:ascii="宋体" w:hAnsi="宋体" w:eastAsia="宋体" w:cs="宋体"/>
          <w:color w:val="auto"/>
          <w:sz w:val="24"/>
          <w:highlight w:val="none"/>
        </w:rPr>
      </w:pPr>
    </w:p>
    <w:p w14:paraId="74B010B2">
      <w:pPr>
        <w:adjustRightInd w:val="0"/>
        <w:snapToGrid w:val="0"/>
        <w:spacing w:line="360" w:lineRule="auto"/>
        <w:outlineLvl w:val="1"/>
        <w:rPr>
          <w:rFonts w:ascii="宋体" w:hAnsi="宋体" w:eastAsia="宋体" w:cs="宋体"/>
          <w:color w:val="auto"/>
          <w:sz w:val="24"/>
          <w:highlight w:val="none"/>
        </w:rPr>
      </w:pPr>
    </w:p>
    <w:p w14:paraId="217D6950">
      <w:pPr>
        <w:adjustRightInd w:val="0"/>
        <w:snapToGrid w:val="0"/>
        <w:spacing w:line="360" w:lineRule="auto"/>
        <w:outlineLvl w:val="1"/>
        <w:rPr>
          <w:rFonts w:ascii="宋体" w:hAnsi="宋体" w:eastAsia="宋体" w:cs="宋体"/>
          <w:color w:val="auto"/>
          <w:sz w:val="24"/>
          <w:highlight w:val="none"/>
        </w:rPr>
      </w:pPr>
    </w:p>
    <w:p w14:paraId="633DE439">
      <w:pPr>
        <w:spacing w:before="65" w:line="440" w:lineRule="exact"/>
        <w:ind w:firstLine="1"/>
        <w:rPr>
          <w:rFonts w:ascii="宋体" w:hAnsi="宋体" w:eastAsia="宋体" w:cs="宋体"/>
          <w:color w:val="auto"/>
          <w:sz w:val="24"/>
          <w:highlight w:val="none"/>
        </w:rPr>
      </w:pPr>
      <w:r>
        <w:rPr>
          <w:rFonts w:hint="eastAsia" w:ascii="宋体" w:hAnsi="宋体" w:eastAsia="宋体" w:cs="宋体"/>
          <w:color w:val="auto"/>
          <w:spacing w:val="8"/>
          <w:sz w:val="24"/>
          <w:highlight w:val="none"/>
        </w:rPr>
        <w:t>投</w:t>
      </w:r>
      <w:r>
        <w:rPr>
          <w:rFonts w:hint="eastAsia" w:ascii="宋体" w:hAnsi="宋体" w:eastAsia="宋体" w:cs="宋体"/>
          <w:color w:val="auto"/>
          <w:spacing w:val="7"/>
          <w:sz w:val="24"/>
          <w:highlight w:val="none"/>
        </w:rPr>
        <w:t>标人（盖公章</w:t>
      </w:r>
      <w:r>
        <w:rPr>
          <w:rFonts w:hint="eastAsia" w:ascii="宋体" w:hAnsi="宋体" w:eastAsia="宋体" w:cs="宋体"/>
          <w:color w:val="auto"/>
          <w:spacing w:val="10"/>
          <w:sz w:val="24"/>
          <w:highlight w:val="none"/>
        </w:rPr>
        <w:t>）：</w:t>
      </w:r>
    </w:p>
    <w:p w14:paraId="58694775">
      <w:pPr>
        <w:spacing w:before="162" w:line="440" w:lineRule="exact"/>
        <w:rPr>
          <w:rFonts w:ascii="宋体" w:hAnsi="宋体" w:eastAsia="宋体" w:cs="宋体"/>
          <w:color w:val="auto"/>
          <w:sz w:val="24"/>
          <w:highlight w:val="none"/>
        </w:rPr>
      </w:pPr>
      <w:r>
        <w:rPr>
          <w:rFonts w:hint="eastAsia" w:ascii="宋体" w:hAnsi="宋体" w:eastAsia="宋体" w:cs="宋体"/>
          <w:color w:val="auto"/>
          <w:spacing w:val="9"/>
          <w:sz w:val="24"/>
          <w:highlight w:val="none"/>
        </w:rPr>
        <w:t>法定代表人</w:t>
      </w:r>
      <w:r>
        <w:rPr>
          <w:rFonts w:hint="eastAsia" w:ascii="宋体" w:hAnsi="宋体" w:eastAsia="宋体" w:cs="宋体"/>
          <w:snapToGrid w:val="0"/>
          <w:color w:val="auto"/>
          <w:kern w:val="0"/>
          <w:sz w:val="24"/>
          <w:highlight w:val="none"/>
        </w:rPr>
        <w:t>（负责人）</w:t>
      </w:r>
      <w:r>
        <w:rPr>
          <w:rFonts w:hint="eastAsia" w:ascii="宋体" w:hAnsi="宋体" w:eastAsia="宋体" w:cs="宋体"/>
          <w:color w:val="auto"/>
          <w:spacing w:val="9"/>
          <w:sz w:val="24"/>
          <w:highlight w:val="none"/>
        </w:rPr>
        <w:t>或其委托代理人（签字或</w:t>
      </w:r>
      <w:r>
        <w:rPr>
          <w:rFonts w:hint="eastAsia" w:ascii="宋体" w:hAnsi="宋体" w:eastAsia="宋体" w:cs="宋体"/>
          <w:color w:val="auto"/>
          <w:spacing w:val="8"/>
          <w:sz w:val="24"/>
          <w:highlight w:val="none"/>
        </w:rPr>
        <w:t>盖章</w:t>
      </w:r>
      <w:r>
        <w:rPr>
          <w:rFonts w:hint="eastAsia" w:ascii="宋体" w:hAnsi="宋体" w:eastAsia="宋体" w:cs="宋体"/>
          <w:color w:val="auto"/>
          <w:spacing w:val="10"/>
          <w:sz w:val="24"/>
          <w:highlight w:val="none"/>
        </w:rPr>
        <w:t>）：</w:t>
      </w:r>
    </w:p>
    <w:p w14:paraId="59E72ACB">
      <w:pPr>
        <w:spacing w:before="161" w:line="440" w:lineRule="exact"/>
        <w:ind w:firstLine="35"/>
        <w:rPr>
          <w:rFonts w:ascii="宋体" w:hAnsi="宋体" w:eastAsia="宋体" w:cs="宋体"/>
          <w:color w:val="auto"/>
          <w:sz w:val="24"/>
          <w:highlight w:val="none"/>
        </w:rPr>
      </w:pPr>
      <w:r>
        <w:rPr>
          <w:rFonts w:hint="eastAsia" w:ascii="宋体" w:hAnsi="宋体" w:eastAsia="宋体" w:cs="宋体"/>
          <w:color w:val="auto"/>
          <w:spacing w:val="1"/>
          <w:sz w:val="24"/>
          <w:highlight w:val="none"/>
        </w:rPr>
        <w:t>日期：年月   日</w:t>
      </w:r>
    </w:p>
    <w:p w14:paraId="14619F0A">
      <w:pPr>
        <w:adjustRightInd w:val="0"/>
        <w:snapToGrid w:val="0"/>
        <w:spacing w:line="360" w:lineRule="auto"/>
        <w:jc w:val="center"/>
        <w:outlineLvl w:val="1"/>
        <w:rPr>
          <w:rFonts w:ascii="宋体" w:hAnsi="宋体" w:eastAsia="宋体" w:cs="宋体"/>
          <w:b/>
          <w:bCs/>
          <w:color w:val="auto"/>
          <w:sz w:val="24"/>
          <w:highlight w:val="none"/>
        </w:rPr>
      </w:pPr>
      <w:r>
        <w:rPr>
          <w:rFonts w:hint="eastAsia" w:ascii="宋体" w:hAnsi="宋体" w:eastAsia="宋体" w:cs="宋体"/>
          <w:color w:val="auto"/>
          <w:sz w:val="24"/>
          <w:highlight w:val="none"/>
        </w:rPr>
        <w:br w:type="page"/>
      </w:r>
      <w:bookmarkStart w:id="105" w:name="_Toc83886046"/>
    </w:p>
    <w:p w14:paraId="001F0EB0">
      <w:pPr>
        <w:adjustRightInd w:val="0"/>
        <w:snapToGrid w:val="0"/>
        <w:spacing w:line="360" w:lineRule="auto"/>
        <w:jc w:val="center"/>
        <w:outlineLvl w:val="1"/>
        <w:rPr>
          <w:rFonts w:ascii="宋体" w:hAnsi="宋体" w:eastAsia="宋体" w:cs="宋体"/>
          <w:b/>
          <w:bCs/>
          <w:color w:val="auto"/>
          <w:sz w:val="24"/>
          <w:highlight w:val="none"/>
        </w:rPr>
      </w:pPr>
      <w:r>
        <w:rPr>
          <w:rFonts w:hint="eastAsia" w:ascii="宋体" w:hAnsi="宋体" w:eastAsia="宋体" w:cs="宋体"/>
          <w:b/>
          <w:bCs/>
          <w:color w:val="auto"/>
          <w:sz w:val="24"/>
          <w:highlight w:val="none"/>
        </w:rPr>
        <w:t>第四部分、技术文件</w:t>
      </w:r>
      <w:bookmarkEnd w:id="105"/>
    </w:p>
    <w:p w14:paraId="4283376D">
      <w:pPr>
        <w:snapToGrid w:val="0"/>
        <w:spacing w:line="360" w:lineRule="auto"/>
        <w:jc w:val="center"/>
        <w:outlineLvl w:val="1"/>
        <w:rPr>
          <w:rFonts w:ascii="宋体" w:hAnsi="宋体" w:eastAsia="宋体" w:cs="宋体"/>
          <w:b/>
          <w:bCs/>
          <w:color w:val="auto"/>
          <w:sz w:val="24"/>
          <w:highlight w:val="none"/>
        </w:rPr>
      </w:pPr>
      <w:bookmarkStart w:id="106" w:name="_Toc20079"/>
      <w:r>
        <w:rPr>
          <w:rFonts w:hint="eastAsia" w:ascii="宋体" w:hAnsi="宋体" w:eastAsia="宋体" w:cs="宋体"/>
          <w:b/>
          <w:bCs/>
          <w:color w:val="auto"/>
          <w:sz w:val="24"/>
          <w:highlight w:val="none"/>
        </w:rPr>
        <w:t>一、技术与服务解决方案</w:t>
      </w:r>
    </w:p>
    <w:p w14:paraId="3EF220FF">
      <w:pPr>
        <w:spacing w:line="360" w:lineRule="auto"/>
        <w:jc w:val="center"/>
        <w:rPr>
          <w:rFonts w:ascii="宋体" w:hAnsi="宋体" w:eastAsia="宋体" w:cs="宋体"/>
          <w:b/>
          <w:color w:val="auto"/>
          <w:kern w:val="0"/>
          <w:sz w:val="24"/>
          <w:highlight w:val="none"/>
        </w:rPr>
      </w:pPr>
      <w:r>
        <w:rPr>
          <w:rFonts w:hint="eastAsia" w:ascii="宋体" w:hAnsi="宋体" w:eastAsia="宋体" w:cs="宋体"/>
          <w:color w:val="auto"/>
          <w:sz w:val="24"/>
          <w:highlight w:val="none"/>
        </w:rPr>
        <w:t>（由投标人根据招标需求及招标文件要求编制）</w:t>
      </w:r>
      <w:r>
        <w:rPr>
          <w:rFonts w:hint="eastAsia" w:ascii="宋体" w:hAnsi="宋体" w:eastAsia="宋体" w:cs="宋体"/>
          <w:b/>
          <w:color w:val="auto"/>
          <w:kern w:val="0"/>
          <w:sz w:val="24"/>
          <w:highlight w:val="none"/>
        </w:rPr>
        <w:br w:type="page"/>
      </w:r>
    </w:p>
    <w:p w14:paraId="69E8BB0A">
      <w:pPr>
        <w:spacing w:line="360" w:lineRule="auto"/>
        <w:jc w:val="center"/>
        <w:rPr>
          <w:rFonts w:ascii="宋体" w:hAnsi="宋体" w:eastAsia="宋体" w:cs="宋体"/>
          <w:b/>
          <w:bCs/>
          <w:color w:val="auto"/>
          <w:sz w:val="24"/>
          <w:highlight w:val="none"/>
          <w:lang w:val="zh-CN"/>
        </w:rPr>
      </w:pPr>
      <w:r>
        <w:rPr>
          <w:rFonts w:hint="eastAsia" w:ascii="宋体" w:hAnsi="宋体" w:eastAsia="宋体" w:cs="宋体"/>
          <w:b/>
          <w:color w:val="auto"/>
          <w:kern w:val="0"/>
          <w:sz w:val="24"/>
          <w:highlight w:val="none"/>
        </w:rPr>
        <w:t>二、</w:t>
      </w:r>
      <w:r>
        <w:rPr>
          <w:rFonts w:hint="eastAsia" w:ascii="宋体" w:hAnsi="宋体" w:eastAsia="宋体" w:cs="宋体"/>
          <w:b/>
          <w:bCs/>
          <w:color w:val="auto"/>
          <w:sz w:val="24"/>
          <w:highlight w:val="none"/>
        </w:rPr>
        <w:t>技术</w:t>
      </w:r>
      <w:r>
        <w:rPr>
          <w:rFonts w:hint="eastAsia" w:ascii="宋体" w:hAnsi="宋体" w:eastAsia="宋体" w:cs="宋体"/>
          <w:b/>
          <w:bCs/>
          <w:color w:val="auto"/>
          <w:sz w:val="24"/>
          <w:highlight w:val="none"/>
          <w:lang w:val="zh-CN"/>
        </w:rPr>
        <w:t>优惠条件及特殊承诺</w:t>
      </w:r>
    </w:p>
    <w:p w14:paraId="205C57C2">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（由投标人根据招标需求自行编制）</w:t>
      </w:r>
    </w:p>
    <w:p w14:paraId="119F8140">
      <w:pPr>
        <w:spacing w:line="360" w:lineRule="auto"/>
        <w:jc w:val="center"/>
        <w:rPr>
          <w:rFonts w:ascii="宋体" w:hAnsi="宋体" w:eastAsia="宋体" w:cs="宋体"/>
          <w:color w:val="auto"/>
          <w:sz w:val="24"/>
          <w:highlight w:val="none"/>
        </w:rPr>
      </w:pPr>
    </w:p>
    <w:p w14:paraId="2F2E2A93">
      <w:pPr>
        <w:pStyle w:val="13"/>
        <w:snapToGrid w:val="0"/>
        <w:spacing w:line="360" w:lineRule="auto"/>
        <w:rPr>
          <w:rFonts w:hAnsi="宋体" w:cs="宋体"/>
          <w:snapToGrid w:val="0"/>
          <w:color w:val="auto"/>
          <w:sz w:val="24"/>
          <w:szCs w:val="24"/>
          <w:highlight w:val="none"/>
        </w:rPr>
      </w:pPr>
    </w:p>
    <w:p w14:paraId="19241755">
      <w:pPr>
        <w:pStyle w:val="13"/>
        <w:snapToGrid w:val="0"/>
        <w:spacing w:line="360" w:lineRule="auto"/>
        <w:rPr>
          <w:rFonts w:hAnsi="宋体" w:cs="宋体"/>
          <w:snapToGrid w:val="0"/>
          <w:color w:val="auto"/>
          <w:sz w:val="24"/>
          <w:szCs w:val="24"/>
          <w:highlight w:val="none"/>
        </w:rPr>
      </w:pPr>
    </w:p>
    <w:p w14:paraId="189FC7C3">
      <w:pPr>
        <w:pStyle w:val="13"/>
        <w:snapToGrid w:val="0"/>
        <w:spacing w:line="360" w:lineRule="auto"/>
        <w:rPr>
          <w:rFonts w:hAnsi="宋体" w:cs="宋体"/>
          <w:snapToGrid w:val="0"/>
          <w:color w:val="auto"/>
          <w:sz w:val="24"/>
          <w:szCs w:val="24"/>
          <w:highlight w:val="none"/>
        </w:rPr>
      </w:pPr>
    </w:p>
    <w:p w14:paraId="44BF39F0">
      <w:pPr>
        <w:pStyle w:val="13"/>
        <w:snapToGrid w:val="0"/>
        <w:spacing w:line="360" w:lineRule="auto"/>
        <w:rPr>
          <w:rFonts w:hAnsi="宋体" w:cs="宋体"/>
          <w:snapToGrid w:val="0"/>
          <w:color w:val="auto"/>
          <w:sz w:val="24"/>
          <w:szCs w:val="24"/>
          <w:highlight w:val="none"/>
        </w:rPr>
      </w:pPr>
    </w:p>
    <w:p w14:paraId="771E8B91">
      <w:pPr>
        <w:pStyle w:val="13"/>
        <w:snapToGrid w:val="0"/>
        <w:spacing w:line="360" w:lineRule="auto"/>
        <w:rPr>
          <w:rFonts w:hAnsi="宋体" w:cs="宋体"/>
          <w:snapToGrid w:val="0"/>
          <w:color w:val="auto"/>
          <w:sz w:val="24"/>
          <w:szCs w:val="24"/>
          <w:highlight w:val="none"/>
        </w:rPr>
      </w:pPr>
    </w:p>
    <w:p w14:paraId="69DD42A4">
      <w:pPr>
        <w:pStyle w:val="13"/>
        <w:snapToGrid w:val="0"/>
        <w:spacing w:line="360" w:lineRule="auto"/>
        <w:rPr>
          <w:rFonts w:hAnsi="宋体" w:cs="宋体"/>
          <w:snapToGrid w:val="0"/>
          <w:color w:val="auto"/>
          <w:sz w:val="24"/>
          <w:szCs w:val="24"/>
          <w:highlight w:val="none"/>
        </w:rPr>
      </w:pPr>
    </w:p>
    <w:p w14:paraId="68528F47">
      <w:pPr>
        <w:pStyle w:val="13"/>
        <w:snapToGrid w:val="0"/>
        <w:spacing w:line="360" w:lineRule="auto"/>
        <w:rPr>
          <w:rFonts w:hAnsi="宋体" w:cs="宋体"/>
          <w:snapToGrid w:val="0"/>
          <w:color w:val="auto"/>
          <w:sz w:val="24"/>
          <w:szCs w:val="24"/>
          <w:highlight w:val="none"/>
        </w:rPr>
      </w:pPr>
    </w:p>
    <w:p w14:paraId="424F80BE">
      <w:pPr>
        <w:pStyle w:val="13"/>
        <w:snapToGrid w:val="0"/>
        <w:spacing w:line="360" w:lineRule="auto"/>
        <w:rPr>
          <w:rFonts w:hAnsi="宋体" w:cs="宋体"/>
          <w:snapToGrid w:val="0"/>
          <w:color w:val="auto"/>
          <w:sz w:val="24"/>
          <w:szCs w:val="24"/>
          <w:highlight w:val="none"/>
        </w:rPr>
      </w:pPr>
    </w:p>
    <w:p w14:paraId="7F0ACCB7">
      <w:pPr>
        <w:pStyle w:val="13"/>
        <w:snapToGrid w:val="0"/>
        <w:spacing w:line="360" w:lineRule="auto"/>
        <w:rPr>
          <w:rFonts w:hAnsi="宋体" w:cs="宋体"/>
          <w:snapToGrid w:val="0"/>
          <w:color w:val="auto"/>
          <w:sz w:val="24"/>
          <w:szCs w:val="24"/>
          <w:highlight w:val="none"/>
        </w:rPr>
      </w:pPr>
    </w:p>
    <w:p w14:paraId="5C5C848F">
      <w:pPr>
        <w:pStyle w:val="13"/>
        <w:snapToGrid w:val="0"/>
        <w:spacing w:line="360" w:lineRule="auto"/>
        <w:rPr>
          <w:rFonts w:hAnsi="宋体" w:cs="宋体"/>
          <w:snapToGrid w:val="0"/>
          <w:color w:val="auto"/>
          <w:sz w:val="24"/>
          <w:szCs w:val="24"/>
          <w:highlight w:val="none"/>
        </w:rPr>
      </w:pPr>
    </w:p>
    <w:p w14:paraId="64565A5B">
      <w:pPr>
        <w:pStyle w:val="13"/>
        <w:snapToGrid w:val="0"/>
        <w:spacing w:line="360" w:lineRule="auto"/>
        <w:rPr>
          <w:rFonts w:hAnsi="宋体" w:cs="宋体"/>
          <w:snapToGrid w:val="0"/>
          <w:color w:val="auto"/>
          <w:sz w:val="24"/>
          <w:szCs w:val="24"/>
          <w:highlight w:val="none"/>
        </w:rPr>
      </w:pPr>
    </w:p>
    <w:p w14:paraId="5FD5514A">
      <w:pPr>
        <w:pStyle w:val="13"/>
        <w:snapToGrid w:val="0"/>
        <w:spacing w:line="360" w:lineRule="auto"/>
        <w:rPr>
          <w:rFonts w:hAnsi="宋体" w:cs="宋体"/>
          <w:snapToGrid w:val="0"/>
          <w:color w:val="auto"/>
          <w:sz w:val="24"/>
          <w:szCs w:val="24"/>
          <w:highlight w:val="none"/>
        </w:rPr>
      </w:pPr>
    </w:p>
    <w:p w14:paraId="159C63DE">
      <w:pPr>
        <w:pStyle w:val="13"/>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投标人（盖公章）：</w:t>
      </w:r>
    </w:p>
    <w:p w14:paraId="2BB00947">
      <w:pPr>
        <w:pStyle w:val="13"/>
        <w:snapToGrid w:val="0"/>
        <w:spacing w:line="360" w:lineRule="auto"/>
        <w:rPr>
          <w:rFonts w:hAnsi="宋体" w:cs="宋体"/>
          <w:snapToGrid w:val="0"/>
          <w:color w:val="auto"/>
          <w:sz w:val="24"/>
          <w:szCs w:val="24"/>
          <w:highlight w:val="none"/>
        </w:rPr>
      </w:pPr>
      <w:r>
        <w:rPr>
          <w:rFonts w:hint="eastAsia" w:hAnsi="宋体" w:cs="宋体"/>
          <w:snapToGrid w:val="0"/>
          <w:color w:val="auto"/>
          <w:sz w:val="24"/>
          <w:szCs w:val="24"/>
          <w:highlight w:val="none"/>
        </w:rPr>
        <w:t>法定代表人或其委托代理人（签字或盖章）：</w:t>
      </w:r>
    </w:p>
    <w:p w14:paraId="1B60A32A">
      <w:pPr>
        <w:pStyle w:val="51"/>
        <w:adjustRightInd w:val="0"/>
        <w:snapToGrid w:val="0"/>
        <w:spacing w:line="360" w:lineRule="auto"/>
        <w:rPr>
          <w:rFonts w:hAnsi="宋体" w:cs="宋体"/>
          <w:color w:val="auto"/>
          <w:sz w:val="24"/>
          <w:szCs w:val="24"/>
          <w:highlight w:val="none"/>
        </w:rPr>
      </w:pPr>
      <w:r>
        <w:rPr>
          <w:rFonts w:hint="eastAsia" w:hAnsi="宋体" w:cs="宋体"/>
          <w:snapToGrid w:val="0"/>
          <w:color w:val="auto"/>
          <w:sz w:val="24"/>
          <w:szCs w:val="24"/>
          <w:highlight w:val="none"/>
        </w:rPr>
        <w:t>日期：</w:t>
      </w:r>
      <w:r>
        <w:rPr>
          <w:rFonts w:hint="eastAsia" w:hAnsi="宋体" w:cs="宋体"/>
          <w:color w:val="auto"/>
          <w:sz w:val="24"/>
          <w:szCs w:val="24"/>
          <w:highlight w:val="none"/>
        </w:rPr>
        <w:t xml:space="preserve">      年    月    日</w:t>
      </w:r>
    </w:p>
    <w:p w14:paraId="656048D7">
      <w:pPr>
        <w:pStyle w:val="51"/>
        <w:adjustRightInd w:val="0"/>
        <w:snapToGrid w:val="0"/>
        <w:spacing w:line="360" w:lineRule="auto"/>
        <w:rPr>
          <w:rFonts w:hAnsi="宋体" w:cs="宋体"/>
          <w:color w:val="auto"/>
          <w:sz w:val="24"/>
          <w:szCs w:val="24"/>
          <w:highlight w:val="none"/>
        </w:rPr>
      </w:pPr>
    </w:p>
    <w:p w14:paraId="39D73DFE">
      <w:pPr>
        <w:pStyle w:val="51"/>
        <w:adjustRightInd w:val="0"/>
        <w:snapToGrid w:val="0"/>
        <w:spacing w:line="360" w:lineRule="auto"/>
        <w:rPr>
          <w:rFonts w:hAnsi="宋体" w:cs="宋体"/>
          <w:color w:val="auto"/>
          <w:sz w:val="24"/>
          <w:szCs w:val="24"/>
          <w:highlight w:val="none"/>
        </w:rPr>
      </w:pPr>
    </w:p>
    <w:p w14:paraId="1172039B">
      <w:pPr>
        <w:pStyle w:val="51"/>
        <w:adjustRightInd w:val="0"/>
        <w:snapToGrid w:val="0"/>
        <w:spacing w:line="360" w:lineRule="auto"/>
        <w:rPr>
          <w:rFonts w:hAnsi="宋体" w:cs="宋体"/>
          <w:color w:val="auto"/>
          <w:sz w:val="24"/>
          <w:szCs w:val="24"/>
          <w:highlight w:val="none"/>
        </w:rPr>
      </w:pPr>
    </w:p>
    <w:p w14:paraId="5E010BFA">
      <w:pPr>
        <w:pStyle w:val="51"/>
        <w:adjustRightInd w:val="0"/>
        <w:snapToGrid w:val="0"/>
        <w:spacing w:line="360" w:lineRule="auto"/>
        <w:rPr>
          <w:rFonts w:hAnsi="宋体" w:cs="宋体"/>
          <w:color w:val="auto"/>
          <w:sz w:val="24"/>
          <w:szCs w:val="24"/>
          <w:highlight w:val="none"/>
        </w:rPr>
      </w:pPr>
    </w:p>
    <w:p w14:paraId="69355846">
      <w:pPr>
        <w:pStyle w:val="51"/>
        <w:adjustRightInd w:val="0"/>
        <w:snapToGrid w:val="0"/>
        <w:spacing w:line="360" w:lineRule="auto"/>
        <w:rPr>
          <w:rFonts w:hAnsi="宋体" w:cs="宋体"/>
          <w:color w:val="auto"/>
          <w:sz w:val="24"/>
          <w:szCs w:val="24"/>
          <w:highlight w:val="none"/>
        </w:rPr>
      </w:pPr>
    </w:p>
    <w:p w14:paraId="3E886932">
      <w:pPr>
        <w:pStyle w:val="51"/>
        <w:adjustRightInd w:val="0"/>
        <w:snapToGrid w:val="0"/>
        <w:spacing w:line="360" w:lineRule="auto"/>
        <w:rPr>
          <w:rFonts w:hAnsi="宋体" w:cs="宋体"/>
          <w:color w:val="auto"/>
          <w:sz w:val="24"/>
          <w:szCs w:val="24"/>
          <w:highlight w:val="none"/>
        </w:rPr>
      </w:pPr>
    </w:p>
    <w:p w14:paraId="12386EFF">
      <w:pPr>
        <w:pStyle w:val="51"/>
        <w:adjustRightInd w:val="0"/>
        <w:snapToGrid w:val="0"/>
        <w:spacing w:line="360" w:lineRule="auto"/>
        <w:rPr>
          <w:rFonts w:hAnsi="宋体" w:cs="宋体"/>
          <w:color w:val="auto"/>
          <w:sz w:val="24"/>
          <w:szCs w:val="24"/>
          <w:highlight w:val="none"/>
        </w:rPr>
      </w:pPr>
    </w:p>
    <w:p w14:paraId="1A06D939">
      <w:pPr>
        <w:jc w:val="center"/>
        <w:rPr>
          <w:rFonts w:ascii="宋体" w:hAnsi="宋体" w:eastAsia="宋体" w:cs="宋体"/>
          <w:bCs/>
          <w:color w:val="auto"/>
          <w:sz w:val="24"/>
          <w:highlight w:val="none"/>
        </w:rPr>
      </w:pPr>
      <w:r>
        <w:rPr>
          <w:rFonts w:hint="eastAsia" w:ascii="宋体" w:hAnsi="宋体" w:eastAsia="宋体" w:cs="宋体"/>
          <w:b/>
          <w:bCs/>
          <w:color w:val="auto"/>
          <w:sz w:val="24"/>
          <w:highlight w:val="none"/>
        </w:rPr>
        <w:t>三、</w:t>
      </w:r>
      <w:r>
        <w:rPr>
          <w:rFonts w:hint="eastAsia" w:ascii="宋体" w:hAnsi="宋体" w:eastAsia="宋体" w:cs="宋体"/>
          <w:b/>
          <w:color w:val="auto"/>
          <w:kern w:val="0"/>
          <w:sz w:val="24"/>
          <w:highlight w:val="none"/>
        </w:rPr>
        <w:t>技术偏离表</w:t>
      </w:r>
      <w:bookmarkEnd w:id="106"/>
    </w:p>
    <w:p w14:paraId="13C8161C">
      <w:pPr>
        <w:adjustRightInd w:val="0"/>
        <w:snapToGrid w:val="0"/>
        <w:spacing w:line="360" w:lineRule="auto"/>
        <w:ind w:firstLine="464"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投标人应根据其投标文件响应情况，对照招标文件的要求，有差异的，则在表中写明实际响应的具体内容。</w:t>
      </w:r>
    </w:p>
    <w:tbl>
      <w:tblPr>
        <w:tblStyle w:val="25"/>
        <w:tblW w:w="9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72"/>
        <w:gridCol w:w="2050"/>
        <w:gridCol w:w="1050"/>
        <w:gridCol w:w="2190"/>
        <w:gridCol w:w="1110"/>
        <w:gridCol w:w="1081"/>
      </w:tblGrid>
      <w:tr w14:paraId="5587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restart"/>
            <w:vAlign w:val="center"/>
          </w:tcPr>
          <w:p w14:paraId="7E04DEB3">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922" w:type="dxa"/>
            <w:gridSpan w:val="2"/>
            <w:vAlign w:val="center"/>
          </w:tcPr>
          <w:p w14:paraId="1BE07184">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3240" w:type="dxa"/>
            <w:gridSpan w:val="2"/>
            <w:vAlign w:val="center"/>
          </w:tcPr>
          <w:p w14:paraId="0C6F8B6E">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投标文件内容</w:t>
            </w:r>
          </w:p>
        </w:tc>
        <w:tc>
          <w:tcPr>
            <w:tcW w:w="1110" w:type="dxa"/>
            <w:vMerge w:val="restart"/>
            <w:vAlign w:val="center"/>
          </w:tcPr>
          <w:p w14:paraId="2E44B076">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是否响应</w:t>
            </w:r>
          </w:p>
        </w:tc>
        <w:tc>
          <w:tcPr>
            <w:tcW w:w="1081" w:type="dxa"/>
            <w:vMerge w:val="restart"/>
            <w:vAlign w:val="center"/>
          </w:tcPr>
          <w:p w14:paraId="1C326CDF">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偏离说明</w:t>
            </w:r>
          </w:p>
        </w:tc>
      </w:tr>
      <w:tr w14:paraId="4D4D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Merge w:val="continue"/>
            <w:vAlign w:val="center"/>
          </w:tcPr>
          <w:p w14:paraId="45289943">
            <w:pPr>
              <w:adjustRightInd w:val="0"/>
              <w:snapToGrid w:val="0"/>
              <w:jc w:val="center"/>
              <w:rPr>
                <w:rFonts w:ascii="宋体" w:hAnsi="宋体" w:eastAsia="宋体" w:cs="宋体"/>
                <w:color w:val="auto"/>
                <w:sz w:val="24"/>
                <w:highlight w:val="none"/>
              </w:rPr>
            </w:pPr>
          </w:p>
        </w:tc>
        <w:tc>
          <w:tcPr>
            <w:tcW w:w="872" w:type="dxa"/>
            <w:vAlign w:val="center"/>
          </w:tcPr>
          <w:p w14:paraId="418C7F19">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条目</w:t>
            </w:r>
          </w:p>
        </w:tc>
        <w:tc>
          <w:tcPr>
            <w:tcW w:w="2050" w:type="dxa"/>
            <w:vAlign w:val="center"/>
          </w:tcPr>
          <w:p w14:paraId="45F4C12A">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简要内容</w:t>
            </w:r>
          </w:p>
        </w:tc>
        <w:tc>
          <w:tcPr>
            <w:tcW w:w="1050" w:type="dxa"/>
            <w:vAlign w:val="center"/>
          </w:tcPr>
          <w:p w14:paraId="59A3555A">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条目</w:t>
            </w:r>
          </w:p>
        </w:tc>
        <w:tc>
          <w:tcPr>
            <w:tcW w:w="2190" w:type="dxa"/>
            <w:vAlign w:val="center"/>
          </w:tcPr>
          <w:p w14:paraId="6A0E4984">
            <w:pPr>
              <w:adjustRightInd w:val="0"/>
              <w:snapToGrid w:val="0"/>
              <w:jc w:val="center"/>
              <w:rPr>
                <w:rFonts w:ascii="宋体" w:hAnsi="宋体" w:eastAsia="宋体" w:cs="宋体"/>
                <w:color w:val="auto"/>
                <w:sz w:val="24"/>
                <w:highlight w:val="none"/>
              </w:rPr>
            </w:pPr>
            <w:r>
              <w:rPr>
                <w:rFonts w:hint="eastAsia" w:ascii="宋体" w:hAnsi="宋体" w:eastAsia="宋体" w:cs="宋体"/>
                <w:color w:val="auto"/>
                <w:sz w:val="24"/>
                <w:highlight w:val="none"/>
              </w:rPr>
              <w:t>实际响应的具体内容</w:t>
            </w:r>
          </w:p>
        </w:tc>
        <w:tc>
          <w:tcPr>
            <w:tcW w:w="1110" w:type="dxa"/>
            <w:vMerge w:val="continue"/>
            <w:vAlign w:val="center"/>
          </w:tcPr>
          <w:p w14:paraId="41273567">
            <w:pPr>
              <w:adjustRightInd w:val="0"/>
              <w:snapToGrid w:val="0"/>
              <w:jc w:val="center"/>
              <w:rPr>
                <w:rFonts w:ascii="宋体" w:hAnsi="宋体" w:eastAsia="宋体" w:cs="宋体"/>
                <w:color w:val="auto"/>
                <w:sz w:val="24"/>
                <w:highlight w:val="none"/>
              </w:rPr>
            </w:pPr>
          </w:p>
        </w:tc>
        <w:tc>
          <w:tcPr>
            <w:tcW w:w="1081" w:type="dxa"/>
            <w:vMerge w:val="continue"/>
            <w:vAlign w:val="center"/>
          </w:tcPr>
          <w:p w14:paraId="18389234">
            <w:pPr>
              <w:adjustRightInd w:val="0"/>
              <w:snapToGrid w:val="0"/>
              <w:jc w:val="center"/>
              <w:rPr>
                <w:rFonts w:ascii="宋体" w:hAnsi="宋体" w:eastAsia="宋体" w:cs="宋体"/>
                <w:color w:val="auto"/>
                <w:sz w:val="24"/>
                <w:highlight w:val="none"/>
              </w:rPr>
            </w:pPr>
          </w:p>
        </w:tc>
      </w:tr>
      <w:tr w14:paraId="4129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32B1AD1B">
            <w:pPr>
              <w:adjustRightInd w:val="0"/>
              <w:snapToGrid w:val="0"/>
              <w:jc w:val="center"/>
              <w:rPr>
                <w:rFonts w:ascii="宋体" w:hAnsi="宋体" w:eastAsia="宋体" w:cs="宋体"/>
                <w:color w:val="auto"/>
                <w:sz w:val="24"/>
                <w:highlight w:val="none"/>
              </w:rPr>
            </w:pPr>
          </w:p>
        </w:tc>
        <w:tc>
          <w:tcPr>
            <w:tcW w:w="872" w:type="dxa"/>
            <w:vAlign w:val="center"/>
          </w:tcPr>
          <w:p w14:paraId="654AB461">
            <w:pPr>
              <w:adjustRightInd w:val="0"/>
              <w:snapToGrid w:val="0"/>
              <w:jc w:val="center"/>
              <w:rPr>
                <w:rFonts w:ascii="宋体" w:hAnsi="宋体" w:eastAsia="宋体" w:cs="宋体"/>
                <w:color w:val="auto"/>
                <w:sz w:val="24"/>
                <w:highlight w:val="none"/>
              </w:rPr>
            </w:pPr>
          </w:p>
        </w:tc>
        <w:tc>
          <w:tcPr>
            <w:tcW w:w="2050" w:type="dxa"/>
            <w:vAlign w:val="center"/>
          </w:tcPr>
          <w:p w14:paraId="7DF6E9B1">
            <w:pPr>
              <w:adjustRightInd w:val="0"/>
              <w:snapToGrid w:val="0"/>
              <w:jc w:val="center"/>
              <w:rPr>
                <w:rFonts w:ascii="宋体" w:hAnsi="宋体" w:eastAsia="宋体" w:cs="宋体"/>
                <w:color w:val="auto"/>
                <w:sz w:val="24"/>
                <w:highlight w:val="none"/>
              </w:rPr>
            </w:pPr>
          </w:p>
        </w:tc>
        <w:tc>
          <w:tcPr>
            <w:tcW w:w="1050" w:type="dxa"/>
            <w:vAlign w:val="center"/>
          </w:tcPr>
          <w:p w14:paraId="04702031">
            <w:pPr>
              <w:adjustRightInd w:val="0"/>
              <w:snapToGrid w:val="0"/>
              <w:jc w:val="center"/>
              <w:rPr>
                <w:rFonts w:ascii="宋体" w:hAnsi="宋体" w:eastAsia="宋体" w:cs="宋体"/>
                <w:color w:val="auto"/>
                <w:sz w:val="24"/>
                <w:highlight w:val="none"/>
              </w:rPr>
            </w:pPr>
          </w:p>
        </w:tc>
        <w:tc>
          <w:tcPr>
            <w:tcW w:w="2190" w:type="dxa"/>
            <w:vAlign w:val="center"/>
          </w:tcPr>
          <w:p w14:paraId="5C8FB910">
            <w:pPr>
              <w:adjustRightInd w:val="0"/>
              <w:snapToGrid w:val="0"/>
              <w:jc w:val="center"/>
              <w:rPr>
                <w:rFonts w:ascii="宋体" w:hAnsi="宋体" w:eastAsia="宋体" w:cs="宋体"/>
                <w:color w:val="auto"/>
                <w:sz w:val="24"/>
                <w:highlight w:val="none"/>
              </w:rPr>
            </w:pPr>
          </w:p>
        </w:tc>
        <w:tc>
          <w:tcPr>
            <w:tcW w:w="1110" w:type="dxa"/>
            <w:vAlign w:val="center"/>
          </w:tcPr>
          <w:p w14:paraId="10BB7CAC">
            <w:pPr>
              <w:adjustRightInd w:val="0"/>
              <w:snapToGrid w:val="0"/>
              <w:jc w:val="center"/>
              <w:rPr>
                <w:rFonts w:ascii="宋体" w:hAnsi="宋体" w:eastAsia="宋体" w:cs="宋体"/>
                <w:color w:val="auto"/>
                <w:sz w:val="24"/>
                <w:highlight w:val="none"/>
              </w:rPr>
            </w:pPr>
          </w:p>
        </w:tc>
        <w:tc>
          <w:tcPr>
            <w:tcW w:w="1081" w:type="dxa"/>
            <w:vAlign w:val="center"/>
          </w:tcPr>
          <w:p w14:paraId="03AA8E82">
            <w:pPr>
              <w:adjustRightInd w:val="0"/>
              <w:snapToGrid w:val="0"/>
              <w:jc w:val="center"/>
              <w:rPr>
                <w:rFonts w:ascii="宋体" w:hAnsi="宋体" w:eastAsia="宋体" w:cs="宋体"/>
                <w:color w:val="auto"/>
                <w:sz w:val="24"/>
                <w:highlight w:val="none"/>
              </w:rPr>
            </w:pPr>
          </w:p>
        </w:tc>
      </w:tr>
      <w:tr w14:paraId="4744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783808E">
            <w:pPr>
              <w:adjustRightInd w:val="0"/>
              <w:snapToGrid w:val="0"/>
              <w:jc w:val="center"/>
              <w:rPr>
                <w:rFonts w:ascii="宋体" w:hAnsi="宋体" w:eastAsia="宋体" w:cs="宋体"/>
                <w:color w:val="auto"/>
                <w:sz w:val="24"/>
                <w:highlight w:val="none"/>
              </w:rPr>
            </w:pPr>
          </w:p>
        </w:tc>
        <w:tc>
          <w:tcPr>
            <w:tcW w:w="872" w:type="dxa"/>
            <w:vAlign w:val="center"/>
          </w:tcPr>
          <w:p w14:paraId="0AE7C086">
            <w:pPr>
              <w:adjustRightInd w:val="0"/>
              <w:snapToGrid w:val="0"/>
              <w:jc w:val="center"/>
              <w:rPr>
                <w:rFonts w:ascii="宋体" w:hAnsi="宋体" w:eastAsia="宋体" w:cs="宋体"/>
                <w:color w:val="auto"/>
                <w:sz w:val="24"/>
                <w:highlight w:val="none"/>
              </w:rPr>
            </w:pPr>
          </w:p>
        </w:tc>
        <w:tc>
          <w:tcPr>
            <w:tcW w:w="2050" w:type="dxa"/>
            <w:vAlign w:val="center"/>
          </w:tcPr>
          <w:p w14:paraId="77D18EBF">
            <w:pPr>
              <w:adjustRightInd w:val="0"/>
              <w:snapToGrid w:val="0"/>
              <w:jc w:val="center"/>
              <w:rPr>
                <w:rFonts w:ascii="宋体" w:hAnsi="宋体" w:eastAsia="宋体" w:cs="宋体"/>
                <w:color w:val="auto"/>
                <w:sz w:val="24"/>
                <w:highlight w:val="none"/>
              </w:rPr>
            </w:pPr>
          </w:p>
        </w:tc>
        <w:tc>
          <w:tcPr>
            <w:tcW w:w="1050" w:type="dxa"/>
            <w:vAlign w:val="center"/>
          </w:tcPr>
          <w:p w14:paraId="3D5E2CD3">
            <w:pPr>
              <w:adjustRightInd w:val="0"/>
              <w:snapToGrid w:val="0"/>
              <w:jc w:val="center"/>
              <w:rPr>
                <w:rFonts w:ascii="宋体" w:hAnsi="宋体" w:eastAsia="宋体" w:cs="宋体"/>
                <w:color w:val="auto"/>
                <w:sz w:val="24"/>
                <w:highlight w:val="none"/>
              </w:rPr>
            </w:pPr>
          </w:p>
        </w:tc>
        <w:tc>
          <w:tcPr>
            <w:tcW w:w="2190" w:type="dxa"/>
            <w:vAlign w:val="center"/>
          </w:tcPr>
          <w:p w14:paraId="60EA62CE">
            <w:pPr>
              <w:adjustRightInd w:val="0"/>
              <w:snapToGrid w:val="0"/>
              <w:jc w:val="center"/>
              <w:rPr>
                <w:rFonts w:ascii="宋体" w:hAnsi="宋体" w:eastAsia="宋体" w:cs="宋体"/>
                <w:color w:val="auto"/>
                <w:sz w:val="24"/>
                <w:highlight w:val="none"/>
              </w:rPr>
            </w:pPr>
          </w:p>
        </w:tc>
        <w:tc>
          <w:tcPr>
            <w:tcW w:w="1110" w:type="dxa"/>
            <w:vAlign w:val="center"/>
          </w:tcPr>
          <w:p w14:paraId="1ADD75F8">
            <w:pPr>
              <w:adjustRightInd w:val="0"/>
              <w:snapToGrid w:val="0"/>
              <w:jc w:val="center"/>
              <w:rPr>
                <w:rFonts w:ascii="宋体" w:hAnsi="宋体" w:eastAsia="宋体" w:cs="宋体"/>
                <w:color w:val="auto"/>
                <w:sz w:val="24"/>
                <w:highlight w:val="none"/>
              </w:rPr>
            </w:pPr>
          </w:p>
        </w:tc>
        <w:tc>
          <w:tcPr>
            <w:tcW w:w="1081" w:type="dxa"/>
            <w:vAlign w:val="center"/>
          </w:tcPr>
          <w:p w14:paraId="3D036B9C">
            <w:pPr>
              <w:adjustRightInd w:val="0"/>
              <w:snapToGrid w:val="0"/>
              <w:jc w:val="center"/>
              <w:rPr>
                <w:rFonts w:ascii="宋体" w:hAnsi="宋体" w:eastAsia="宋体" w:cs="宋体"/>
                <w:color w:val="auto"/>
                <w:sz w:val="24"/>
                <w:highlight w:val="none"/>
              </w:rPr>
            </w:pPr>
          </w:p>
        </w:tc>
      </w:tr>
      <w:tr w14:paraId="581AE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1715907C">
            <w:pPr>
              <w:adjustRightInd w:val="0"/>
              <w:snapToGrid w:val="0"/>
              <w:jc w:val="center"/>
              <w:rPr>
                <w:rFonts w:ascii="宋体" w:hAnsi="宋体" w:eastAsia="宋体" w:cs="宋体"/>
                <w:color w:val="auto"/>
                <w:sz w:val="24"/>
                <w:highlight w:val="none"/>
              </w:rPr>
            </w:pPr>
          </w:p>
        </w:tc>
        <w:tc>
          <w:tcPr>
            <w:tcW w:w="872" w:type="dxa"/>
            <w:vAlign w:val="center"/>
          </w:tcPr>
          <w:p w14:paraId="3154A7BC">
            <w:pPr>
              <w:adjustRightInd w:val="0"/>
              <w:snapToGrid w:val="0"/>
              <w:jc w:val="center"/>
              <w:rPr>
                <w:rFonts w:ascii="宋体" w:hAnsi="宋体" w:eastAsia="宋体" w:cs="宋体"/>
                <w:color w:val="auto"/>
                <w:sz w:val="24"/>
                <w:highlight w:val="none"/>
              </w:rPr>
            </w:pPr>
          </w:p>
        </w:tc>
        <w:tc>
          <w:tcPr>
            <w:tcW w:w="2050" w:type="dxa"/>
            <w:vAlign w:val="center"/>
          </w:tcPr>
          <w:p w14:paraId="17B3A41A">
            <w:pPr>
              <w:pStyle w:val="8"/>
              <w:rPr>
                <w:rFonts w:ascii="宋体" w:hAnsi="宋体" w:cs="宋体"/>
                <w:color w:val="auto"/>
                <w:sz w:val="24"/>
                <w:szCs w:val="24"/>
                <w:highlight w:val="none"/>
              </w:rPr>
            </w:pPr>
          </w:p>
        </w:tc>
        <w:tc>
          <w:tcPr>
            <w:tcW w:w="1050" w:type="dxa"/>
            <w:vAlign w:val="center"/>
          </w:tcPr>
          <w:p w14:paraId="61AB33E3">
            <w:pPr>
              <w:adjustRightInd w:val="0"/>
              <w:snapToGrid w:val="0"/>
              <w:jc w:val="center"/>
              <w:rPr>
                <w:rFonts w:ascii="宋体" w:hAnsi="宋体" w:eastAsia="宋体" w:cs="宋体"/>
                <w:color w:val="auto"/>
                <w:sz w:val="24"/>
                <w:highlight w:val="none"/>
              </w:rPr>
            </w:pPr>
          </w:p>
        </w:tc>
        <w:tc>
          <w:tcPr>
            <w:tcW w:w="2190" w:type="dxa"/>
            <w:vAlign w:val="center"/>
          </w:tcPr>
          <w:p w14:paraId="7FF27F60">
            <w:pPr>
              <w:adjustRightInd w:val="0"/>
              <w:snapToGrid w:val="0"/>
              <w:jc w:val="center"/>
              <w:rPr>
                <w:rFonts w:ascii="宋体" w:hAnsi="宋体" w:eastAsia="宋体" w:cs="宋体"/>
                <w:color w:val="auto"/>
                <w:sz w:val="24"/>
                <w:highlight w:val="none"/>
              </w:rPr>
            </w:pPr>
          </w:p>
        </w:tc>
        <w:tc>
          <w:tcPr>
            <w:tcW w:w="1110" w:type="dxa"/>
            <w:vAlign w:val="center"/>
          </w:tcPr>
          <w:p w14:paraId="150D8601">
            <w:pPr>
              <w:adjustRightInd w:val="0"/>
              <w:snapToGrid w:val="0"/>
              <w:jc w:val="center"/>
              <w:rPr>
                <w:rFonts w:ascii="宋体" w:hAnsi="宋体" w:eastAsia="宋体" w:cs="宋体"/>
                <w:color w:val="auto"/>
                <w:sz w:val="24"/>
                <w:highlight w:val="none"/>
              </w:rPr>
            </w:pPr>
          </w:p>
        </w:tc>
        <w:tc>
          <w:tcPr>
            <w:tcW w:w="1081" w:type="dxa"/>
            <w:vAlign w:val="center"/>
          </w:tcPr>
          <w:p w14:paraId="42DA9F38">
            <w:pPr>
              <w:adjustRightInd w:val="0"/>
              <w:snapToGrid w:val="0"/>
              <w:jc w:val="center"/>
              <w:rPr>
                <w:rFonts w:ascii="宋体" w:hAnsi="宋体" w:eastAsia="宋体" w:cs="宋体"/>
                <w:color w:val="auto"/>
                <w:sz w:val="24"/>
                <w:highlight w:val="none"/>
              </w:rPr>
            </w:pPr>
          </w:p>
        </w:tc>
      </w:tr>
      <w:tr w14:paraId="6479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1BECFD92">
            <w:pPr>
              <w:adjustRightInd w:val="0"/>
              <w:snapToGrid w:val="0"/>
              <w:jc w:val="center"/>
              <w:rPr>
                <w:rFonts w:ascii="宋体" w:hAnsi="宋体" w:eastAsia="宋体" w:cs="宋体"/>
                <w:color w:val="auto"/>
                <w:sz w:val="24"/>
                <w:highlight w:val="none"/>
              </w:rPr>
            </w:pPr>
          </w:p>
        </w:tc>
        <w:tc>
          <w:tcPr>
            <w:tcW w:w="872" w:type="dxa"/>
            <w:vAlign w:val="center"/>
          </w:tcPr>
          <w:p w14:paraId="6DC89A0F">
            <w:pPr>
              <w:adjustRightInd w:val="0"/>
              <w:snapToGrid w:val="0"/>
              <w:jc w:val="center"/>
              <w:rPr>
                <w:rFonts w:ascii="宋体" w:hAnsi="宋体" w:eastAsia="宋体" w:cs="宋体"/>
                <w:color w:val="auto"/>
                <w:sz w:val="24"/>
                <w:highlight w:val="none"/>
              </w:rPr>
            </w:pPr>
          </w:p>
        </w:tc>
        <w:tc>
          <w:tcPr>
            <w:tcW w:w="2050" w:type="dxa"/>
            <w:vAlign w:val="center"/>
          </w:tcPr>
          <w:p w14:paraId="43CB315A">
            <w:pPr>
              <w:adjustRightInd w:val="0"/>
              <w:snapToGrid w:val="0"/>
              <w:jc w:val="center"/>
              <w:rPr>
                <w:rFonts w:ascii="宋体" w:hAnsi="宋体" w:eastAsia="宋体" w:cs="宋体"/>
                <w:color w:val="auto"/>
                <w:sz w:val="24"/>
                <w:highlight w:val="none"/>
              </w:rPr>
            </w:pPr>
          </w:p>
        </w:tc>
        <w:tc>
          <w:tcPr>
            <w:tcW w:w="1050" w:type="dxa"/>
            <w:vAlign w:val="center"/>
          </w:tcPr>
          <w:p w14:paraId="653125EE">
            <w:pPr>
              <w:adjustRightInd w:val="0"/>
              <w:snapToGrid w:val="0"/>
              <w:jc w:val="center"/>
              <w:rPr>
                <w:rFonts w:ascii="宋体" w:hAnsi="宋体" w:eastAsia="宋体" w:cs="宋体"/>
                <w:color w:val="auto"/>
                <w:sz w:val="24"/>
                <w:highlight w:val="none"/>
              </w:rPr>
            </w:pPr>
          </w:p>
        </w:tc>
        <w:tc>
          <w:tcPr>
            <w:tcW w:w="2190" w:type="dxa"/>
            <w:vAlign w:val="center"/>
          </w:tcPr>
          <w:p w14:paraId="29890C4E">
            <w:pPr>
              <w:adjustRightInd w:val="0"/>
              <w:snapToGrid w:val="0"/>
              <w:jc w:val="center"/>
              <w:rPr>
                <w:rFonts w:ascii="宋体" w:hAnsi="宋体" w:eastAsia="宋体" w:cs="宋体"/>
                <w:color w:val="auto"/>
                <w:sz w:val="24"/>
                <w:highlight w:val="none"/>
              </w:rPr>
            </w:pPr>
          </w:p>
        </w:tc>
        <w:tc>
          <w:tcPr>
            <w:tcW w:w="1110" w:type="dxa"/>
            <w:vAlign w:val="center"/>
          </w:tcPr>
          <w:p w14:paraId="09A9D4F2">
            <w:pPr>
              <w:adjustRightInd w:val="0"/>
              <w:snapToGrid w:val="0"/>
              <w:jc w:val="center"/>
              <w:rPr>
                <w:rFonts w:ascii="宋体" w:hAnsi="宋体" w:eastAsia="宋体" w:cs="宋体"/>
                <w:color w:val="auto"/>
                <w:sz w:val="24"/>
                <w:highlight w:val="none"/>
              </w:rPr>
            </w:pPr>
          </w:p>
        </w:tc>
        <w:tc>
          <w:tcPr>
            <w:tcW w:w="1081" w:type="dxa"/>
            <w:vAlign w:val="center"/>
          </w:tcPr>
          <w:p w14:paraId="535AFBC3">
            <w:pPr>
              <w:adjustRightInd w:val="0"/>
              <w:snapToGrid w:val="0"/>
              <w:jc w:val="center"/>
              <w:rPr>
                <w:rFonts w:ascii="宋体" w:hAnsi="宋体" w:eastAsia="宋体" w:cs="宋体"/>
                <w:color w:val="auto"/>
                <w:sz w:val="24"/>
                <w:highlight w:val="none"/>
              </w:rPr>
            </w:pPr>
          </w:p>
        </w:tc>
      </w:tr>
      <w:tr w14:paraId="3668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1ED8D3D8">
            <w:pPr>
              <w:adjustRightInd w:val="0"/>
              <w:snapToGrid w:val="0"/>
              <w:jc w:val="center"/>
              <w:rPr>
                <w:rFonts w:ascii="宋体" w:hAnsi="宋体" w:eastAsia="宋体" w:cs="宋体"/>
                <w:color w:val="auto"/>
                <w:sz w:val="24"/>
                <w:highlight w:val="none"/>
              </w:rPr>
            </w:pPr>
          </w:p>
        </w:tc>
        <w:tc>
          <w:tcPr>
            <w:tcW w:w="872" w:type="dxa"/>
            <w:vAlign w:val="center"/>
          </w:tcPr>
          <w:p w14:paraId="7F43D590">
            <w:pPr>
              <w:adjustRightInd w:val="0"/>
              <w:snapToGrid w:val="0"/>
              <w:jc w:val="center"/>
              <w:rPr>
                <w:rFonts w:ascii="宋体" w:hAnsi="宋体" w:eastAsia="宋体" w:cs="宋体"/>
                <w:color w:val="auto"/>
                <w:sz w:val="24"/>
                <w:highlight w:val="none"/>
              </w:rPr>
            </w:pPr>
          </w:p>
        </w:tc>
        <w:tc>
          <w:tcPr>
            <w:tcW w:w="2050" w:type="dxa"/>
            <w:vAlign w:val="center"/>
          </w:tcPr>
          <w:p w14:paraId="6864FC2E">
            <w:pPr>
              <w:adjustRightInd w:val="0"/>
              <w:snapToGrid w:val="0"/>
              <w:jc w:val="center"/>
              <w:rPr>
                <w:rFonts w:ascii="宋体" w:hAnsi="宋体" w:eastAsia="宋体" w:cs="宋体"/>
                <w:color w:val="auto"/>
                <w:sz w:val="24"/>
                <w:highlight w:val="none"/>
              </w:rPr>
            </w:pPr>
          </w:p>
        </w:tc>
        <w:tc>
          <w:tcPr>
            <w:tcW w:w="1050" w:type="dxa"/>
            <w:vAlign w:val="center"/>
          </w:tcPr>
          <w:p w14:paraId="052B6F1E">
            <w:pPr>
              <w:adjustRightInd w:val="0"/>
              <w:snapToGrid w:val="0"/>
              <w:jc w:val="center"/>
              <w:rPr>
                <w:rFonts w:ascii="宋体" w:hAnsi="宋体" w:eastAsia="宋体" w:cs="宋体"/>
                <w:color w:val="auto"/>
                <w:sz w:val="24"/>
                <w:highlight w:val="none"/>
              </w:rPr>
            </w:pPr>
          </w:p>
        </w:tc>
        <w:tc>
          <w:tcPr>
            <w:tcW w:w="2190" w:type="dxa"/>
            <w:vAlign w:val="center"/>
          </w:tcPr>
          <w:p w14:paraId="6E5295C8">
            <w:pPr>
              <w:adjustRightInd w:val="0"/>
              <w:snapToGrid w:val="0"/>
              <w:jc w:val="center"/>
              <w:rPr>
                <w:rFonts w:ascii="宋体" w:hAnsi="宋体" w:eastAsia="宋体" w:cs="宋体"/>
                <w:color w:val="auto"/>
                <w:sz w:val="24"/>
                <w:highlight w:val="none"/>
              </w:rPr>
            </w:pPr>
          </w:p>
        </w:tc>
        <w:tc>
          <w:tcPr>
            <w:tcW w:w="1110" w:type="dxa"/>
            <w:vAlign w:val="center"/>
          </w:tcPr>
          <w:p w14:paraId="71490939">
            <w:pPr>
              <w:adjustRightInd w:val="0"/>
              <w:snapToGrid w:val="0"/>
              <w:jc w:val="center"/>
              <w:rPr>
                <w:rFonts w:ascii="宋体" w:hAnsi="宋体" w:eastAsia="宋体" w:cs="宋体"/>
                <w:color w:val="auto"/>
                <w:sz w:val="24"/>
                <w:highlight w:val="none"/>
              </w:rPr>
            </w:pPr>
          </w:p>
        </w:tc>
        <w:tc>
          <w:tcPr>
            <w:tcW w:w="1081" w:type="dxa"/>
            <w:vAlign w:val="center"/>
          </w:tcPr>
          <w:p w14:paraId="19F3BB62">
            <w:pPr>
              <w:adjustRightInd w:val="0"/>
              <w:snapToGrid w:val="0"/>
              <w:jc w:val="center"/>
              <w:rPr>
                <w:rFonts w:ascii="宋体" w:hAnsi="宋体" w:eastAsia="宋体" w:cs="宋体"/>
                <w:color w:val="auto"/>
                <w:sz w:val="24"/>
                <w:highlight w:val="none"/>
              </w:rPr>
            </w:pPr>
          </w:p>
        </w:tc>
      </w:tr>
      <w:tr w14:paraId="7646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5B3E59A5">
            <w:pPr>
              <w:adjustRightInd w:val="0"/>
              <w:snapToGrid w:val="0"/>
              <w:jc w:val="center"/>
              <w:rPr>
                <w:rFonts w:ascii="宋体" w:hAnsi="宋体" w:eastAsia="宋体" w:cs="宋体"/>
                <w:color w:val="auto"/>
                <w:sz w:val="24"/>
                <w:highlight w:val="none"/>
              </w:rPr>
            </w:pPr>
          </w:p>
        </w:tc>
        <w:tc>
          <w:tcPr>
            <w:tcW w:w="872" w:type="dxa"/>
            <w:vAlign w:val="center"/>
          </w:tcPr>
          <w:p w14:paraId="0201E57D">
            <w:pPr>
              <w:adjustRightInd w:val="0"/>
              <w:snapToGrid w:val="0"/>
              <w:jc w:val="center"/>
              <w:rPr>
                <w:rFonts w:ascii="宋体" w:hAnsi="宋体" w:eastAsia="宋体" w:cs="宋体"/>
                <w:color w:val="auto"/>
                <w:sz w:val="24"/>
                <w:highlight w:val="none"/>
              </w:rPr>
            </w:pPr>
          </w:p>
        </w:tc>
        <w:tc>
          <w:tcPr>
            <w:tcW w:w="2050" w:type="dxa"/>
            <w:vAlign w:val="center"/>
          </w:tcPr>
          <w:p w14:paraId="1DCD9805">
            <w:pPr>
              <w:pStyle w:val="8"/>
              <w:rPr>
                <w:rFonts w:ascii="宋体" w:hAnsi="宋体" w:cs="宋体"/>
                <w:color w:val="auto"/>
                <w:sz w:val="24"/>
                <w:szCs w:val="24"/>
                <w:highlight w:val="none"/>
              </w:rPr>
            </w:pPr>
          </w:p>
        </w:tc>
        <w:tc>
          <w:tcPr>
            <w:tcW w:w="1050" w:type="dxa"/>
            <w:vAlign w:val="center"/>
          </w:tcPr>
          <w:p w14:paraId="734DC6B7">
            <w:pPr>
              <w:adjustRightInd w:val="0"/>
              <w:snapToGrid w:val="0"/>
              <w:jc w:val="center"/>
              <w:rPr>
                <w:rFonts w:ascii="宋体" w:hAnsi="宋体" w:eastAsia="宋体" w:cs="宋体"/>
                <w:color w:val="auto"/>
                <w:sz w:val="24"/>
                <w:highlight w:val="none"/>
              </w:rPr>
            </w:pPr>
          </w:p>
        </w:tc>
        <w:tc>
          <w:tcPr>
            <w:tcW w:w="2190" w:type="dxa"/>
            <w:vAlign w:val="center"/>
          </w:tcPr>
          <w:p w14:paraId="09CD5597">
            <w:pPr>
              <w:adjustRightInd w:val="0"/>
              <w:snapToGrid w:val="0"/>
              <w:jc w:val="center"/>
              <w:rPr>
                <w:rFonts w:ascii="宋体" w:hAnsi="宋体" w:eastAsia="宋体" w:cs="宋体"/>
                <w:color w:val="auto"/>
                <w:sz w:val="24"/>
                <w:highlight w:val="none"/>
              </w:rPr>
            </w:pPr>
          </w:p>
        </w:tc>
        <w:tc>
          <w:tcPr>
            <w:tcW w:w="1110" w:type="dxa"/>
            <w:vAlign w:val="center"/>
          </w:tcPr>
          <w:p w14:paraId="2559461E">
            <w:pPr>
              <w:adjustRightInd w:val="0"/>
              <w:snapToGrid w:val="0"/>
              <w:jc w:val="center"/>
              <w:rPr>
                <w:rFonts w:ascii="宋体" w:hAnsi="宋体" w:eastAsia="宋体" w:cs="宋体"/>
                <w:color w:val="auto"/>
                <w:sz w:val="24"/>
                <w:highlight w:val="none"/>
              </w:rPr>
            </w:pPr>
          </w:p>
        </w:tc>
        <w:tc>
          <w:tcPr>
            <w:tcW w:w="1081" w:type="dxa"/>
            <w:vAlign w:val="center"/>
          </w:tcPr>
          <w:p w14:paraId="6CE3B294">
            <w:pPr>
              <w:adjustRightInd w:val="0"/>
              <w:snapToGrid w:val="0"/>
              <w:jc w:val="center"/>
              <w:rPr>
                <w:rFonts w:ascii="宋体" w:hAnsi="宋体" w:eastAsia="宋体" w:cs="宋体"/>
                <w:color w:val="auto"/>
                <w:sz w:val="24"/>
                <w:highlight w:val="none"/>
              </w:rPr>
            </w:pPr>
          </w:p>
        </w:tc>
      </w:tr>
      <w:tr w14:paraId="5C6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166ADBC2">
            <w:pPr>
              <w:adjustRightInd w:val="0"/>
              <w:snapToGrid w:val="0"/>
              <w:jc w:val="center"/>
              <w:rPr>
                <w:rFonts w:ascii="宋体" w:hAnsi="宋体" w:eastAsia="宋体" w:cs="宋体"/>
                <w:color w:val="auto"/>
                <w:sz w:val="24"/>
                <w:highlight w:val="none"/>
              </w:rPr>
            </w:pPr>
          </w:p>
        </w:tc>
        <w:tc>
          <w:tcPr>
            <w:tcW w:w="872" w:type="dxa"/>
            <w:vAlign w:val="center"/>
          </w:tcPr>
          <w:p w14:paraId="1C7D5EB2">
            <w:pPr>
              <w:adjustRightInd w:val="0"/>
              <w:snapToGrid w:val="0"/>
              <w:jc w:val="center"/>
              <w:rPr>
                <w:rFonts w:ascii="宋体" w:hAnsi="宋体" w:eastAsia="宋体" w:cs="宋体"/>
                <w:color w:val="auto"/>
                <w:sz w:val="24"/>
                <w:highlight w:val="none"/>
              </w:rPr>
            </w:pPr>
          </w:p>
        </w:tc>
        <w:tc>
          <w:tcPr>
            <w:tcW w:w="2050" w:type="dxa"/>
            <w:vAlign w:val="center"/>
          </w:tcPr>
          <w:p w14:paraId="10A69581">
            <w:pPr>
              <w:jc w:val="left"/>
              <w:rPr>
                <w:rFonts w:ascii="宋体" w:hAnsi="宋体" w:eastAsia="宋体" w:cs="宋体"/>
                <w:color w:val="auto"/>
                <w:sz w:val="24"/>
                <w:highlight w:val="none"/>
              </w:rPr>
            </w:pPr>
          </w:p>
        </w:tc>
        <w:tc>
          <w:tcPr>
            <w:tcW w:w="1050" w:type="dxa"/>
            <w:vAlign w:val="center"/>
          </w:tcPr>
          <w:p w14:paraId="61C22A3D">
            <w:pPr>
              <w:adjustRightInd w:val="0"/>
              <w:snapToGrid w:val="0"/>
              <w:jc w:val="center"/>
              <w:rPr>
                <w:rFonts w:ascii="宋体" w:hAnsi="宋体" w:eastAsia="宋体" w:cs="宋体"/>
                <w:color w:val="auto"/>
                <w:sz w:val="24"/>
                <w:highlight w:val="none"/>
              </w:rPr>
            </w:pPr>
          </w:p>
        </w:tc>
        <w:tc>
          <w:tcPr>
            <w:tcW w:w="2190" w:type="dxa"/>
            <w:vAlign w:val="center"/>
          </w:tcPr>
          <w:p w14:paraId="70DB3EB9">
            <w:pPr>
              <w:adjustRightInd w:val="0"/>
              <w:snapToGrid w:val="0"/>
              <w:jc w:val="center"/>
              <w:rPr>
                <w:rFonts w:ascii="宋体" w:hAnsi="宋体" w:eastAsia="宋体" w:cs="宋体"/>
                <w:color w:val="auto"/>
                <w:sz w:val="24"/>
                <w:highlight w:val="none"/>
              </w:rPr>
            </w:pPr>
          </w:p>
        </w:tc>
        <w:tc>
          <w:tcPr>
            <w:tcW w:w="1110" w:type="dxa"/>
            <w:vAlign w:val="center"/>
          </w:tcPr>
          <w:p w14:paraId="260233DF">
            <w:pPr>
              <w:adjustRightInd w:val="0"/>
              <w:snapToGrid w:val="0"/>
              <w:jc w:val="center"/>
              <w:rPr>
                <w:rFonts w:ascii="宋体" w:hAnsi="宋体" w:eastAsia="宋体" w:cs="宋体"/>
                <w:color w:val="auto"/>
                <w:sz w:val="24"/>
                <w:highlight w:val="none"/>
              </w:rPr>
            </w:pPr>
          </w:p>
        </w:tc>
        <w:tc>
          <w:tcPr>
            <w:tcW w:w="1081" w:type="dxa"/>
            <w:vAlign w:val="center"/>
          </w:tcPr>
          <w:p w14:paraId="3D8CC4CF">
            <w:pPr>
              <w:adjustRightInd w:val="0"/>
              <w:snapToGrid w:val="0"/>
              <w:jc w:val="center"/>
              <w:rPr>
                <w:rFonts w:ascii="宋体" w:hAnsi="宋体" w:eastAsia="宋体" w:cs="宋体"/>
                <w:color w:val="auto"/>
                <w:sz w:val="24"/>
                <w:highlight w:val="none"/>
              </w:rPr>
            </w:pPr>
          </w:p>
        </w:tc>
      </w:tr>
      <w:tr w14:paraId="7175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7ABAB50">
            <w:pPr>
              <w:adjustRightInd w:val="0"/>
              <w:snapToGrid w:val="0"/>
              <w:jc w:val="center"/>
              <w:rPr>
                <w:rFonts w:ascii="宋体" w:hAnsi="宋体" w:eastAsia="宋体" w:cs="宋体"/>
                <w:color w:val="auto"/>
                <w:sz w:val="24"/>
                <w:highlight w:val="none"/>
              </w:rPr>
            </w:pPr>
          </w:p>
        </w:tc>
        <w:tc>
          <w:tcPr>
            <w:tcW w:w="872" w:type="dxa"/>
            <w:vAlign w:val="center"/>
          </w:tcPr>
          <w:p w14:paraId="0FD813CD">
            <w:pPr>
              <w:adjustRightInd w:val="0"/>
              <w:snapToGrid w:val="0"/>
              <w:jc w:val="center"/>
              <w:rPr>
                <w:rFonts w:ascii="宋体" w:hAnsi="宋体" w:eastAsia="宋体" w:cs="宋体"/>
                <w:color w:val="auto"/>
                <w:sz w:val="24"/>
                <w:highlight w:val="none"/>
              </w:rPr>
            </w:pPr>
          </w:p>
        </w:tc>
        <w:tc>
          <w:tcPr>
            <w:tcW w:w="2050" w:type="dxa"/>
            <w:vAlign w:val="center"/>
          </w:tcPr>
          <w:p w14:paraId="6F7C5D23">
            <w:pPr>
              <w:adjustRightInd w:val="0"/>
              <w:snapToGrid w:val="0"/>
              <w:rPr>
                <w:rFonts w:ascii="宋体" w:hAnsi="宋体" w:eastAsia="宋体" w:cs="宋体"/>
                <w:color w:val="auto"/>
                <w:sz w:val="24"/>
                <w:highlight w:val="none"/>
              </w:rPr>
            </w:pPr>
          </w:p>
        </w:tc>
        <w:tc>
          <w:tcPr>
            <w:tcW w:w="1050" w:type="dxa"/>
            <w:vAlign w:val="center"/>
          </w:tcPr>
          <w:p w14:paraId="110DF45D">
            <w:pPr>
              <w:adjustRightInd w:val="0"/>
              <w:snapToGrid w:val="0"/>
              <w:jc w:val="center"/>
              <w:rPr>
                <w:rFonts w:ascii="宋体" w:hAnsi="宋体" w:eastAsia="宋体" w:cs="宋体"/>
                <w:color w:val="auto"/>
                <w:sz w:val="24"/>
                <w:highlight w:val="none"/>
              </w:rPr>
            </w:pPr>
          </w:p>
        </w:tc>
        <w:tc>
          <w:tcPr>
            <w:tcW w:w="2190" w:type="dxa"/>
            <w:vAlign w:val="center"/>
          </w:tcPr>
          <w:p w14:paraId="5F6455F2">
            <w:pPr>
              <w:adjustRightInd w:val="0"/>
              <w:snapToGrid w:val="0"/>
              <w:jc w:val="center"/>
              <w:rPr>
                <w:rFonts w:ascii="宋体" w:hAnsi="宋体" w:eastAsia="宋体" w:cs="宋体"/>
                <w:color w:val="auto"/>
                <w:sz w:val="24"/>
                <w:highlight w:val="none"/>
              </w:rPr>
            </w:pPr>
          </w:p>
        </w:tc>
        <w:tc>
          <w:tcPr>
            <w:tcW w:w="1110" w:type="dxa"/>
            <w:vAlign w:val="center"/>
          </w:tcPr>
          <w:p w14:paraId="27420DAA">
            <w:pPr>
              <w:adjustRightInd w:val="0"/>
              <w:snapToGrid w:val="0"/>
              <w:jc w:val="center"/>
              <w:rPr>
                <w:rFonts w:ascii="宋体" w:hAnsi="宋体" w:eastAsia="宋体" w:cs="宋体"/>
                <w:color w:val="auto"/>
                <w:sz w:val="24"/>
                <w:highlight w:val="none"/>
              </w:rPr>
            </w:pPr>
          </w:p>
        </w:tc>
        <w:tc>
          <w:tcPr>
            <w:tcW w:w="1081" w:type="dxa"/>
            <w:vAlign w:val="center"/>
          </w:tcPr>
          <w:p w14:paraId="2C130A0D">
            <w:pPr>
              <w:adjustRightInd w:val="0"/>
              <w:snapToGrid w:val="0"/>
              <w:jc w:val="center"/>
              <w:rPr>
                <w:rFonts w:ascii="宋体" w:hAnsi="宋体" w:eastAsia="宋体" w:cs="宋体"/>
                <w:color w:val="auto"/>
                <w:sz w:val="24"/>
                <w:highlight w:val="none"/>
              </w:rPr>
            </w:pPr>
          </w:p>
        </w:tc>
      </w:tr>
      <w:tr w14:paraId="491C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3EE355B8">
            <w:pPr>
              <w:adjustRightInd w:val="0"/>
              <w:snapToGrid w:val="0"/>
              <w:jc w:val="center"/>
              <w:rPr>
                <w:rFonts w:ascii="宋体" w:hAnsi="宋体" w:eastAsia="宋体" w:cs="宋体"/>
                <w:color w:val="auto"/>
                <w:sz w:val="24"/>
                <w:highlight w:val="none"/>
              </w:rPr>
            </w:pPr>
          </w:p>
        </w:tc>
        <w:tc>
          <w:tcPr>
            <w:tcW w:w="872" w:type="dxa"/>
            <w:vAlign w:val="center"/>
          </w:tcPr>
          <w:p w14:paraId="325C5BC5">
            <w:pPr>
              <w:adjustRightInd w:val="0"/>
              <w:snapToGrid w:val="0"/>
              <w:jc w:val="center"/>
              <w:rPr>
                <w:rFonts w:ascii="宋体" w:hAnsi="宋体" w:eastAsia="宋体" w:cs="宋体"/>
                <w:color w:val="auto"/>
                <w:sz w:val="24"/>
                <w:highlight w:val="none"/>
              </w:rPr>
            </w:pPr>
          </w:p>
        </w:tc>
        <w:tc>
          <w:tcPr>
            <w:tcW w:w="2050" w:type="dxa"/>
            <w:vAlign w:val="center"/>
          </w:tcPr>
          <w:p w14:paraId="1C396BEF">
            <w:pPr>
              <w:adjustRightInd w:val="0"/>
              <w:snapToGrid w:val="0"/>
              <w:jc w:val="center"/>
              <w:rPr>
                <w:rFonts w:ascii="宋体" w:hAnsi="宋体" w:eastAsia="宋体" w:cs="宋体"/>
                <w:color w:val="auto"/>
                <w:sz w:val="24"/>
                <w:highlight w:val="none"/>
              </w:rPr>
            </w:pPr>
          </w:p>
        </w:tc>
        <w:tc>
          <w:tcPr>
            <w:tcW w:w="1050" w:type="dxa"/>
            <w:vAlign w:val="center"/>
          </w:tcPr>
          <w:p w14:paraId="61EE81B8">
            <w:pPr>
              <w:adjustRightInd w:val="0"/>
              <w:snapToGrid w:val="0"/>
              <w:jc w:val="center"/>
              <w:rPr>
                <w:rFonts w:ascii="宋体" w:hAnsi="宋体" w:eastAsia="宋体" w:cs="宋体"/>
                <w:color w:val="auto"/>
                <w:sz w:val="24"/>
                <w:highlight w:val="none"/>
              </w:rPr>
            </w:pPr>
          </w:p>
        </w:tc>
        <w:tc>
          <w:tcPr>
            <w:tcW w:w="2190" w:type="dxa"/>
            <w:vAlign w:val="center"/>
          </w:tcPr>
          <w:p w14:paraId="15F35E24">
            <w:pPr>
              <w:adjustRightInd w:val="0"/>
              <w:snapToGrid w:val="0"/>
              <w:jc w:val="center"/>
              <w:rPr>
                <w:rFonts w:ascii="宋体" w:hAnsi="宋体" w:eastAsia="宋体" w:cs="宋体"/>
                <w:color w:val="auto"/>
                <w:sz w:val="24"/>
                <w:highlight w:val="none"/>
              </w:rPr>
            </w:pPr>
          </w:p>
        </w:tc>
        <w:tc>
          <w:tcPr>
            <w:tcW w:w="1110" w:type="dxa"/>
            <w:vAlign w:val="center"/>
          </w:tcPr>
          <w:p w14:paraId="346F4CF1">
            <w:pPr>
              <w:adjustRightInd w:val="0"/>
              <w:snapToGrid w:val="0"/>
              <w:jc w:val="center"/>
              <w:rPr>
                <w:rFonts w:ascii="宋体" w:hAnsi="宋体" w:eastAsia="宋体" w:cs="宋体"/>
                <w:color w:val="auto"/>
                <w:sz w:val="24"/>
                <w:highlight w:val="none"/>
              </w:rPr>
            </w:pPr>
          </w:p>
        </w:tc>
        <w:tc>
          <w:tcPr>
            <w:tcW w:w="1081" w:type="dxa"/>
            <w:vAlign w:val="center"/>
          </w:tcPr>
          <w:p w14:paraId="2CE7866E">
            <w:pPr>
              <w:adjustRightInd w:val="0"/>
              <w:snapToGrid w:val="0"/>
              <w:jc w:val="center"/>
              <w:rPr>
                <w:rFonts w:ascii="宋体" w:hAnsi="宋体" w:eastAsia="宋体" w:cs="宋体"/>
                <w:color w:val="auto"/>
                <w:sz w:val="24"/>
                <w:highlight w:val="none"/>
              </w:rPr>
            </w:pPr>
          </w:p>
        </w:tc>
      </w:tr>
      <w:tr w14:paraId="5276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757E8B4D">
            <w:pPr>
              <w:adjustRightInd w:val="0"/>
              <w:snapToGrid w:val="0"/>
              <w:jc w:val="center"/>
              <w:rPr>
                <w:rFonts w:ascii="宋体" w:hAnsi="宋体" w:eastAsia="宋体" w:cs="宋体"/>
                <w:color w:val="auto"/>
                <w:sz w:val="24"/>
                <w:highlight w:val="none"/>
              </w:rPr>
            </w:pPr>
          </w:p>
        </w:tc>
        <w:tc>
          <w:tcPr>
            <w:tcW w:w="872" w:type="dxa"/>
            <w:vAlign w:val="center"/>
          </w:tcPr>
          <w:p w14:paraId="12B3097A">
            <w:pPr>
              <w:adjustRightInd w:val="0"/>
              <w:snapToGrid w:val="0"/>
              <w:jc w:val="center"/>
              <w:rPr>
                <w:rFonts w:ascii="宋体" w:hAnsi="宋体" w:eastAsia="宋体" w:cs="宋体"/>
                <w:color w:val="auto"/>
                <w:sz w:val="24"/>
                <w:highlight w:val="none"/>
              </w:rPr>
            </w:pPr>
          </w:p>
        </w:tc>
        <w:tc>
          <w:tcPr>
            <w:tcW w:w="2050" w:type="dxa"/>
            <w:vAlign w:val="center"/>
          </w:tcPr>
          <w:p w14:paraId="797F5493">
            <w:pPr>
              <w:adjustRightInd w:val="0"/>
              <w:snapToGrid w:val="0"/>
              <w:jc w:val="center"/>
              <w:rPr>
                <w:rFonts w:ascii="宋体" w:hAnsi="宋体" w:eastAsia="宋体" w:cs="宋体"/>
                <w:color w:val="auto"/>
                <w:sz w:val="24"/>
                <w:highlight w:val="none"/>
              </w:rPr>
            </w:pPr>
          </w:p>
        </w:tc>
        <w:tc>
          <w:tcPr>
            <w:tcW w:w="1050" w:type="dxa"/>
            <w:vAlign w:val="center"/>
          </w:tcPr>
          <w:p w14:paraId="24DC81A4">
            <w:pPr>
              <w:adjustRightInd w:val="0"/>
              <w:snapToGrid w:val="0"/>
              <w:jc w:val="center"/>
              <w:rPr>
                <w:rFonts w:ascii="宋体" w:hAnsi="宋体" w:eastAsia="宋体" w:cs="宋体"/>
                <w:color w:val="auto"/>
                <w:sz w:val="24"/>
                <w:highlight w:val="none"/>
              </w:rPr>
            </w:pPr>
          </w:p>
        </w:tc>
        <w:tc>
          <w:tcPr>
            <w:tcW w:w="2190" w:type="dxa"/>
            <w:vAlign w:val="center"/>
          </w:tcPr>
          <w:p w14:paraId="3A663C55">
            <w:pPr>
              <w:adjustRightInd w:val="0"/>
              <w:snapToGrid w:val="0"/>
              <w:jc w:val="center"/>
              <w:rPr>
                <w:rFonts w:ascii="宋体" w:hAnsi="宋体" w:eastAsia="宋体" w:cs="宋体"/>
                <w:color w:val="auto"/>
                <w:sz w:val="24"/>
                <w:highlight w:val="none"/>
              </w:rPr>
            </w:pPr>
          </w:p>
        </w:tc>
        <w:tc>
          <w:tcPr>
            <w:tcW w:w="1110" w:type="dxa"/>
            <w:vAlign w:val="center"/>
          </w:tcPr>
          <w:p w14:paraId="7F2554DA">
            <w:pPr>
              <w:adjustRightInd w:val="0"/>
              <w:snapToGrid w:val="0"/>
              <w:jc w:val="center"/>
              <w:rPr>
                <w:rFonts w:ascii="宋体" w:hAnsi="宋体" w:eastAsia="宋体" w:cs="宋体"/>
                <w:color w:val="auto"/>
                <w:sz w:val="24"/>
                <w:highlight w:val="none"/>
              </w:rPr>
            </w:pPr>
          </w:p>
        </w:tc>
        <w:tc>
          <w:tcPr>
            <w:tcW w:w="1081" w:type="dxa"/>
            <w:vAlign w:val="center"/>
          </w:tcPr>
          <w:p w14:paraId="56353671">
            <w:pPr>
              <w:adjustRightInd w:val="0"/>
              <w:snapToGrid w:val="0"/>
              <w:jc w:val="center"/>
              <w:rPr>
                <w:rFonts w:ascii="宋体" w:hAnsi="宋体" w:eastAsia="宋体" w:cs="宋体"/>
                <w:color w:val="auto"/>
                <w:sz w:val="24"/>
                <w:highlight w:val="none"/>
              </w:rPr>
            </w:pPr>
          </w:p>
        </w:tc>
      </w:tr>
      <w:tr w14:paraId="692F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0" w:type="dxa"/>
            <w:vAlign w:val="center"/>
          </w:tcPr>
          <w:p w14:paraId="228CD38E">
            <w:pPr>
              <w:adjustRightInd w:val="0"/>
              <w:snapToGrid w:val="0"/>
              <w:jc w:val="center"/>
              <w:rPr>
                <w:rFonts w:ascii="宋体" w:hAnsi="宋体" w:eastAsia="宋体" w:cs="宋体"/>
                <w:color w:val="auto"/>
                <w:sz w:val="24"/>
                <w:highlight w:val="none"/>
              </w:rPr>
            </w:pPr>
          </w:p>
        </w:tc>
        <w:tc>
          <w:tcPr>
            <w:tcW w:w="872" w:type="dxa"/>
            <w:vAlign w:val="center"/>
          </w:tcPr>
          <w:p w14:paraId="0F9CB58C">
            <w:pPr>
              <w:adjustRightInd w:val="0"/>
              <w:snapToGrid w:val="0"/>
              <w:jc w:val="center"/>
              <w:rPr>
                <w:rFonts w:ascii="宋体" w:hAnsi="宋体" w:eastAsia="宋体" w:cs="宋体"/>
                <w:color w:val="auto"/>
                <w:sz w:val="24"/>
                <w:highlight w:val="none"/>
              </w:rPr>
            </w:pPr>
          </w:p>
        </w:tc>
        <w:tc>
          <w:tcPr>
            <w:tcW w:w="2050" w:type="dxa"/>
            <w:vAlign w:val="center"/>
          </w:tcPr>
          <w:p w14:paraId="09ED6FDD">
            <w:pPr>
              <w:adjustRightInd w:val="0"/>
              <w:snapToGrid w:val="0"/>
              <w:jc w:val="center"/>
              <w:rPr>
                <w:rFonts w:ascii="宋体" w:hAnsi="宋体" w:eastAsia="宋体" w:cs="宋体"/>
                <w:color w:val="auto"/>
                <w:sz w:val="24"/>
                <w:highlight w:val="none"/>
              </w:rPr>
            </w:pPr>
          </w:p>
        </w:tc>
        <w:tc>
          <w:tcPr>
            <w:tcW w:w="1050" w:type="dxa"/>
            <w:vAlign w:val="center"/>
          </w:tcPr>
          <w:p w14:paraId="74E92701">
            <w:pPr>
              <w:adjustRightInd w:val="0"/>
              <w:snapToGrid w:val="0"/>
              <w:jc w:val="center"/>
              <w:rPr>
                <w:rFonts w:ascii="宋体" w:hAnsi="宋体" w:eastAsia="宋体" w:cs="宋体"/>
                <w:color w:val="auto"/>
                <w:sz w:val="24"/>
                <w:highlight w:val="none"/>
              </w:rPr>
            </w:pPr>
          </w:p>
        </w:tc>
        <w:tc>
          <w:tcPr>
            <w:tcW w:w="2190" w:type="dxa"/>
            <w:vAlign w:val="center"/>
          </w:tcPr>
          <w:p w14:paraId="2F8A5AA2">
            <w:pPr>
              <w:adjustRightInd w:val="0"/>
              <w:snapToGrid w:val="0"/>
              <w:jc w:val="center"/>
              <w:rPr>
                <w:rFonts w:ascii="宋体" w:hAnsi="宋体" w:eastAsia="宋体" w:cs="宋体"/>
                <w:color w:val="auto"/>
                <w:sz w:val="24"/>
                <w:highlight w:val="none"/>
              </w:rPr>
            </w:pPr>
          </w:p>
        </w:tc>
        <w:tc>
          <w:tcPr>
            <w:tcW w:w="1110" w:type="dxa"/>
            <w:vAlign w:val="center"/>
          </w:tcPr>
          <w:p w14:paraId="69C3C9B2">
            <w:pPr>
              <w:adjustRightInd w:val="0"/>
              <w:snapToGrid w:val="0"/>
              <w:jc w:val="center"/>
              <w:rPr>
                <w:rFonts w:ascii="宋体" w:hAnsi="宋体" w:eastAsia="宋体" w:cs="宋体"/>
                <w:color w:val="auto"/>
                <w:sz w:val="24"/>
                <w:highlight w:val="none"/>
              </w:rPr>
            </w:pPr>
          </w:p>
        </w:tc>
        <w:tc>
          <w:tcPr>
            <w:tcW w:w="1081" w:type="dxa"/>
            <w:vAlign w:val="center"/>
          </w:tcPr>
          <w:p w14:paraId="171DB17F">
            <w:pPr>
              <w:adjustRightInd w:val="0"/>
              <w:snapToGrid w:val="0"/>
              <w:jc w:val="center"/>
              <w:rPr>
                <w:rFonts w:ascii="宋体" w:hAnsi="宋体" w:eastAsia="宋体" w:cs="宋体"/>
                <w:color w:val="auto"/>
                <w:sz w:val="24"/>
                <w:highlight w:val="none"/>
              </w:rPr>
            </w:pPr>
          </w:p>
        </w:tc>
      </w:tr>
    </w:tbl>
    <w:p w14:paraId="4BB808BA">
      <w:pPr>
        <w:pStyle w:val="51"/>
        <w:adjustRightInd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注：1、请投标人在“是否响应”栏内根据响应情况填写“满足、或负偏离、或正偏离”，负偏离或正偏离请在“偏离说明”栏内扼要说明偏离情况。</w:t>
      </w:r>
    </w:p>
    <w:p w14:paraId="6E3393EB">
      <w:pPr>
        <w:pStyle w:val="51"/>
        <w:adjustRightInd w:val="0"/>
        <w:snapToGrid w:val="0"/>
        <w:spacing w:line="360" w:lineRule="auto"/>
        <w:ind w:firstLine="464" w:firstLineChars="200"/>
        <w:rPr>
          <w:rFonts w:hAnsi="宋体" w:cs="宋体"/>
          <w:color w:val="auto"/>
          <w:sz w:val="24"/>
          <w:szCs w:val="24"/>
          <w:highlight w:val="none"/>
        </w:rPr>
      </w:pPr>
      <w:r>
        <w:rPr>
          <w:rFonts w:hint="eastAsia" w:hAnsi="宋体" w:cs="宋体"/>
          <w:color w:val="auto"/>
          <w:sz w:val="24"/>
          <w:szCs w:val="24"/>
          <w:highlight w:val="none"/>
        </w:rPr>
        <w:t>2、若投标人未提供或未填写本表，均视作完全响应招标文件要求。</w:t>
      </w:r>
    </w:p>
    <w:p w14:paraId="4BBEA218">
      <w:pPr>
        <w:pStyle w:val="51"/>
        <w:adjustRightInd w:val="0"/>
        <w:snapToGrid w:val="0"/>
        <w:spacing w:line="360" w:lineRule="auto"/>
        <w:ind w:firstLine="464" w:firstLineChars="200"/>
        <w:rPr>
          <w:rFonts w:hAnsi="宋体" w:cs="宋体"/>
          <w:color w:val="auto"/>
          <w:sz w:val="24"/>
          <w:szCs w:val="24"/>
          <w:highlight w:val="none"/>
        </w:rPr>
      </w:pPr>
    </w:p>
    <w:p w14:paraId="6B5D5925">
      <w:pPr>
        <w:pStyle w:val="51"/>
        <w:adjustRightInd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投标人（盖公章）：</w:t>
      </w:r>
    </w:p>
    <w:p w14:paraId="7731C5E4">
      <w:pPr>
        <w:pStyle w:val="51"/>
        <w:adjustRightInd w:val="0"/>
        <w:snapToGrid w:val="0"/>
        <w:spacing w:line="360" w:lineRule="auto"/>
        <w:rPr>
          <w:rFonts w:hAnsi="宋体" w:cs="宋体"/>
          <w:color w:val="auto"/>
          <w:sz w:val="24"/>
          <w:szCs w:val="24"/>
          <w:highlight w:val="none"/>
        </w:rPr>
      </w:pPr>
      <w:r>
        <w:rPr>
          <w:rFonts w:hint="eastAsia" w:hAnsi="宋体" w:cs="宋体"/>
          <w:color w:val="auto"/>
          <w:sz w:val="24"/>
          <w:szCs w:val="24"/>
          <w:highlight w:val="none"/>
        </w:rPr>
        <w:t>法定代表人（负责人）或其委托代理人（签字或盖章）：</w:t>
      </w:r>
    </w:p>
    <w:p w14:paraId="4B81B9EF">
      <w:pPr>
        <w:pStyle w:val="51"/>
        <w:adjustRightInd w:val="0"/>
        <w:snapToGrid w:val="0"/>
        <w:spacing w:line="360" w:lineRule="auto"/>
        <w:rPr>
          <w:rFonts w:hAnsi="宋体" w:cs="宋体"/>
          <w:color w:val="auto"/>
          <w:sz w:val="24"/>
          <w:szCs w:val="24"/>
          <w:highlight w:val="none"/>
        </w:rPr>
      </w:pPr>
      <w:r>
        <w:rPr>
          <w:rFonts w:hint="eastAsia" w:hAnsi="宋体" w:cs="宋体"/>
          <w:snapToGrid w:val="0"/>
          <w:color w:val="auto"/>
          <w:sz w:val="24"/>
          <w:szCs w:val="24"/>
          <w:highlight w:val="none"/>
        </w:rPr>
        <w:t>日期：</w:t>
      </w:r>
      <w:r>
        <w:rPr>
          <w:rFonts w:hint="eastAsia" w:hAnsi="宋体" w:cs="宋体"/>
          <w:color w:val="auto"/>
          <w:sz w:val="24"/>
          <w:szCs w:val="24"/>
          <w:highlight w:val="none"/>
        </w:rPr>
        <w:t xml:space="preserve">      年    月    日</w:t>
      </w:r>
    </w:p>
    <w:p w14:paraId="4AC6D446">
      <w:pPr>
        <w:pStyle w:val="51"/>
        <w:adjustRightInd w:val="0"/>
        <w:snapToGrid w:val="0"/>
        <w:spacing w:line="360" w:lineRule="auto"/>
        <w:rPr>
          <w:rFonts w:hAnsi="宋体" w:cs="宋体"/>
          <w:color w:val="auto"/>
          <w:sz w:val="24"/>
          <w:szCs w:val="24"/>
          <w:highlight w:val="none"/>
        </w:rPr>
      </w:pPr>
    </w:p>
    <w:p w14:paraId="48CA6216">
      <w:pPr>
        <w:pStyle w:val="51"/>
        <w:adjustRightInd w:val="0"/>
        <w:snapToGrid w:val="0"/>
        <w:spacing w:line="360" w:lineRule="auto"/>
        <w:rPr>
          <w:rFonts w:hAnsi="宋体" w:cs="宋体"/>
          <w:color w:val="auto"/>
          <w:sz w:val="24"/>
          <w:szCs w:val="24"/>
          <w:highlight w:val="none"/>
        </w:rPr>
      </w:pPr>
    </w:p>
    <w:p w14:paraId="1721CBF9">
      <w:pPr>
        <w:spacing w:line="360" w:lineRule="auto"/>
        <w:jc w:val="center"/>
        <w:rPr>
          <w:rFonts w:ascii="宋体" w:hAnsi="宋体" w:eastAsia="宋体" w:cs="宋体"/>
          <w:color w:val="auto"/>
          <w:highlight w:val="none"/>
        </w:rPr>
      </w:pPr>
      <w:r>
        <w:rPr>
          <w:rFonts w:hint="eastAsia" w:ascii="宋体" w:hAnsi="宋体" w:eastAsia="宋体" w:cs="宋体"/>
          <w:color w:val="auto"/>
          <w:sz w:val="24"/>
          <w:highlight w:val="none"/>
        </w:rPr>
        <w:br w:type="page"/>
      </w:r>
      <w:bookmarkStart w:id="107" w:name="_Toc2511"/>
    </w:p>
    <w:p w14:paraId="069ACB1B">
      <w:pPr>
        <w:pStyle w:val="5"/>
        <w:jc w:val="center"/>
        <w:rPr>
          <w:rFonts w:cs="宋体"/>
          <w:bCs w:val="0"/>
          <w:color w:val="auto"/>
          <w:sz w:val="24"/>
          <w:szCs w:val="24"/>
          <w:highlight w:val="none"/>
          <w:lang w:val="zh-CN"/>
        </w:rPr>
      </w:pPr>
      <w:r>
        <w:rPr>
          <w:rFonts w:hint="eastAsia" w:cs="宋体"/>
          <w:bCs w:val="0"/>
          <w:color w:val="auto"/>
          <w:sz w:val="24"/>
          <w:szCs w:val="24"/>
          <w:highlight w:val="none"/>
        </w:rPr>
        <w:t>四、</w:t>
      </w:r>
      <w:r>
        <w:rPr>
          <w:rFonts w:hint="eastAsia" w:cs="宋体"/>
          <w:bCs w:val="0"/>
          <w:color w:val="auto"/>
          <w:sz w:val="24"/>
          <w:szCs w:val="24"/>
          <w:highlight w:val="none"/>
          <w:lang w:val="zh-CN"/>
        </w:rPr>
        <w:t>投标人认为有必要的其他内容</w:t>
      </w:r>
      <w:bookmarkEnd w:id="107"/>
    </w:p>
    <w:p w14:paraId="7B6E6E65">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（包括与评审有关的内容）</w:t>
      </w:r>
    </w:p>
    <w:p w14:paraId="568E239B">
      <w:pPr>
        <w:jc w:val="center"/>
        <w:rPr>
          <w:rFonts w:ascii="宋体" w:hAnsi="宋体" w:eastAsia="宋体" w:cs="宋体"/>
          <w:color w:val="auto"/>
          <w:sz w:val="24"/>
          <w:highlight w:val="none"/>
        </w:rPr>
      </w:pPr>
    </w:p>
    <w:p w14:paraId="25F8E885">
      <w:pPr>
        <w:jc w:val="center"/>
        <w:rPr>
          <w:rFonts w:ascii="宋体" w:hAnsi="宋体" w:eastAsia="宋体" w:cs="宋体"/>
          <w:color w:val="auto"/>
          <w:sz w:val="24"/>
          <w:highlight w:val="none"/>
        </w:rPr>
      </w:pPr>
    </w:p>
    <w:p w14:paraId="58FD0FC8">
      <w:pPr>
        <w:jc w:val="center"/>
        <w:rPr>
          <w:rFonts w:ascii="宋体" w:hAnsi="宋体" w:eastAsia="宋体" w:cs="宋体"/>
          <w:color w:val="auto"/>
          <w:sz w:val="24"/>
          <w:highlight w:val="none"/>
        </w:rPr>
      </w:pPr>
    </w:p>
    <w:p w14:paraId="7F5340D9">
      <w:pPr>
        <w:jc w:val="center"/>
        <w:rPr>
          <w:rFonts w:ascii="宋体" w:hAnsi="宋体" w:eastAsia="宋体" w:cs="宋体"/>
          <w:color w:val="auto"/>
          <w:sz w:val="24"/>
          <w:highlight w:val="none"/>
        </w:rPr>
      </w:pPr>
    </w:p>
    <w:p w14:paraId="37EBB2D4">
      <w:pPr>
        <w:jc w:val="center"/>
        <w:rPr>
          <w:rFonts w:ascii="宋体" w:hAnsi="宋体" w:eastAsia="宋体" w:cs="宋体"/>
          <w:color w:val="auto"/>
          <w:sz w:val="24"/>
          <w:highlight w:val="none"/>
        </w:rPr>
      </w:pPr>
    </w:p>
    <w:p w14:paraId="68383B5E">
      <w:pPr>
        <w:jc w:val="center"/>
        <w:rPr>
          <w:rFonts w:ascii="宋体" w:hAnsi="宋体" w:eastAsia="宋体" w:cs="宋体"/>
          <w:color w:val="auto"/>
          <w:sz w:val="24"/>
          <w:highlight w:val="none"/>
        </w:rPr>
      </w:pPr>
    </w:p>
    <w:p w14:paraId="504A6282">
      <w:pPr>
        <w:jc w:val="center"/>
        <w:rPr>
          <w:rFonts w:ascii="宋体" w:hAnsi="宋体" w:eastAsia="宋体" w:cs="宋体"/>
          <w:color w:val="auto"/>
          <w:sz w:val="24"/>
          <w:highlight w:val="none"/>
        </w:rPr>
      </w:pPr>
    </w:p>
    <w:p w14:paraId="50B1FB81">
      <w:pPr>
        <w:jc w:val="center"/>
        <w:rPr>
          <w:rFonts w:ascii="宋体" w:hAnsi="宋体" w:eastAsia="宋体" w:cs="宋体"/>
          <w:color w:val="auto"/>
          <w:sz w:val="24"/>
          <w:highlight w:val="none"/>
        </w:rPr>
      </w:pPr>
    </w:p>
    <w:p w14:paraId="570A5B61">
      <w:pPr>
        <w:jc w:val="center"/>
        <w:rPr>
          <w:rFonts w:ascii="宋体" w:hAnsi="宋体" w:eastAsia="宋体" w:cs="宋体"/>
          <w:color w:val="auto"/>
          <w:sz w:val="24"/>
          <w:highlight w:val="none"/>
        </w:rPr>
      </w:pPr>
    </w:p>
    <w:p w14:paraId="43607812">
      <w:pPr>
        <w:jc w:val="center"/>
        <w:rPr>
          <w:rFonts w:ascii="宋体" w:hAnsi="宋体" w:eastAsia="宋体" w:cs="宋体"/>
          <w:color w:val="auto"/>
          <w:sz w:val="24"/>
          <w:highlight w:val="none"/>
        </w:rPr>
      </w:pPr>
    </w:p>
    <w:p w14:paraId="66EB3097">
      <w:pPr>
        <w:jc w:val="center"/>
        <w:rPr>
          <w:rFonts w:ascii="宋体" w:hAnsi="宋体" w:eastAsia="宋体" w:cs="宋体"/>
          <w:color w:val="auto"/>
          <w:sz w:val="24"/>
          <w:highlight w:val="none"/>
        </w:rPr>
      </w:pPr>
    </w:p>
    <w:p w14:paraId="67B3F9D4">
      <w:pPr>
        <w:jc w:val="center"/>
        <w:rPr>
          <w:rFonts w:ascii="宋体" w:hAnsi="宋体" w:eastAsia="宋体" w:cs="宋体"/>
          <w:color w:val="auto"/>
          <w:sz w:val="24"/>
          <w:highlight w:val="none"/>
        </w:rPr>
      </w:pPr>
    </w:p>
    <w:p w14:paraId="7E842635">
      <w:pPr>
        <w:jc w:val="center"/>
        <w:rPr>
          <w:rFonts w:ascii="宋体" w:hAnsi="宋体" w:eastAsia="宋体" w:cs="宋体"/>
          <w:color w:val="auto"/>
          <w:sz w:val="24"/>
          <w:highlight w:val="none"/>
        </w:rPr>
      </w:pPr>
    </w:p>
    <w:p w14:paraId="2EBACA8C">
      <w:pPr>
        <w:jc w:val="center"/>
        <w:rPr>
          <w:rFonts w:ascii="宋体" w:hAnsi="宋体" w:eastAsia="宋体" w:cs="宋体"/>
          <w:color w:val="auto"/>
          <w:sz w:val="24"/>
          <w:highlight w:val="none"/>
        </w:rPr>
      </w:pPr>
    </w:p>
    <w:p w14:paraId="4EF92A1C">
      <w:pPr>
        <w:jc w:val="center"/>
        <w:rPr>
          <w:rFonts w:ascii="宋体" w:hAnsi="宋体" w:eastAsia="宋体" w:cs="宋体"/>
          <w:color w:val="auto"/>
          <w:sz w:val="24"/>
          <w:highlight w:val="none"/>
        </w:rPr>
      </w:pPr>
    </w:p>
    <w:p w14:paraId="47D1586D">
      <w:pPr>
        <w:jc w:val="center"/>
        <w:rPr>
          <w:rFonts w:ascii="宋体" w:hAnsi="宋体" w:eastAsia="宋体" w:cs="宋体"/>
          <w:color w:val="auto"/>
          <w:sz w:val="24"/>
          <w:highlight w:val="none"/>
        </w:rPr>
      </w:pPr>
    </w:p>
    <w:p w14:paraId="453A28C9">
      <w:pPr>
        <w:jc w:val="center"/>
        <w:rPr>
          <w:rFonts w:ascii="宋体" w:hAnsi="宋体" w:eastAsia="宋体" w:cs="宋体"/>
          <w:color w:val="auto"/>
          <w:sz w:val="24"/>
          <w:highlight w:val="none"/>
        </w:rPr>
      </w:pPr>
    </w:p>
    <w:p w14:paraId="633B8308">
      <w:pPr>
        <w:jc w:val="center"/>
        <w:rPr>
          <w:rFonts w:ascii="宋体" w:hAnsi="宋体" w:eastAsia="宋体" w:cs="宋体"/>
          <w:color w:val="auto"/>
          <w:sz w:val="24"/>
          <w:highlight w:val="none"/>
        </w:rPr>
      </w:pPr>
    </w:p>
    <w:p w14:paraId="7D1EA5D7">
      <w:pPr>
        <w:jc w:val="center"/>
        <w:rPr>
          <w:rFonts w:ascii="宋体" w:hAnsi="宋体" w:eastAsia="宋体" w:cs="宋体"/>
          <w:color w:val="auto"/>
          <w:sz w:val="24"/>
          <w:highlight w:val="none"/>
        </w:rPr>
      </w:pPr>
    </w:p>
    <w:bookmarkEnd w:id="100"/>
    <w:p w14:paraId="1BCD2471">
      <w:pPr>
        <w:rPr>
          <w:rFonts w:ascii="宋体" w:hAnsi="宋体" w:eastAsia="宋体" w:cs="宋体"/>
          <w:bCs/>
          <w:color w:val="auto"/>
          <w:kern w:val="44"/>
          <w:szCs w:val="32"/>
          <w:highlight w:val="none"/>
        </w:rPr>
      </w:pPr>
      <w:bookmarkStart w:id="108" w:name="_Toc1923"/>
      <w:bookmarkStart w:id="109" w:name="_Toc83886047"/>
      <w:r>
        <w:rPr>
          <w:rFonts w:hint="eastAsia" w:ascii="宋体" w:hAnsi="宋体" w:eastAsia="宋体" w:cs="宋体"/>
          <w:bCs/>
          <w:color w:val="auto"/>
          <w:kern w:val="44"/>
          <w:szCs w:val="32"/>
          <w:highlight w:val="none"/>
        </w:rPr>
        <w:br w:type="page"/>
      </w:r>
    </w:p>
    <w:p w14:paraId="27FBB5EE">
      <w:pPr>
        <w:pStyle w:val="3"/>
        <w:widowControl/>
        <w:numPr>
          <w:ilvl w:val="0"/>
          <w:numId w:val="4"/>
        </w:numPr>
        <w:adjustRightInd w:val="0"/>
        <w:snapToGrid w:val="0"/>
        <w:spacing w:before="0" w:after="0" w:line="360" w:lineRule="auto"/>
        <w:rPr>
          <w:rFonts w:asciiTheme="minorEastAsia" w:hAnsiTheme="minorEastAsia" w:eastAsiaTheme="minorEastAsia" w:cstheme="minorEastAsia"/>
          <w:b w:val="0"/>
          <w:bCs/>
          <w:color w:val="auto"/>
          <w:sz w:val="32"/>
          <w:szCs w:val="32"/>
          <w:highlight w:val="none"/>
        </w:rPr>
      </w:pPr>
      <w:r>
        <w:rPr>
          <w:rFonts w:hint="eastAsia" w:asciiTheme="minorEastAsia" w:hAnsiTheme="minorEastAsia" w:eastAsiaTheme="minorEastAsia" w:cstheme="minorEastAsia"/>
          <w:b w:val="0"/>
          <w:bCs/>
          <w:color w:val="auto"/>
          <w:sz w:val="32"/>
          <w:szCs w:val="32"/>
          <w:highlight w:val="none"/>
        </w:rPr>
        <w:t xml:space="preserve"> 合同条款及格式</w:t>
      </w:r>
    </w:p>
    <w:p w14:paraId="7E7F2BBF">
      <w:pPr>
        <w:pStyle w:val="3"/>
        <w:widowControl/>
        <w:adjustRightInd w:val="0"/>
        <w:snapToGrid w:val="0"/>
        <w:spacing w:before="0" w:after="0" w:line="360" w:lineRule="auto"/>
        <w:rPr>
          <w:rFonts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（仅供参考，以实际签订为准）</w:t>
      </w:r>
    </w:p>
    <w:bookmarkEnd w:id="0"/>
    <w:bookmarkEnd w:id="108"/>
    <w:bookmarkEnd w:id="109"/>
    <w:p w14:paraId="6FBE38BE">
      <w:pPr>
        <w:spacing w:line="440" w:lineRule="exact"/>
        <w:outlineLvl w:val="6"/>
        <w:rPr>
          <w:rFonts w:asciiTheme="minorEastAsia" w:hAnsiTheme="minorEastAsia" w:eastAsiaTheme="minorEastAsia" w:cstheme="minorEastAsia"/>
          <w:b/>
          <w:bCs/>
          <w:color w:val="auto"/>
          <w:spacing w:val="3"/>
          <w:sz w:val="24"/>
          <w:highlight w:val="none"/>
        </w:rPr>
      </w:pPr>
      <w:r>
        <w:rPr>
          <w:rFonts w:hint="eastAsia" w:asciiTheme="minorEastAsia" w:hAnsiTheme="minorEastAsia" w:eastAsiaTheme="minorEastAsia" w:cstheme="minorEastAsia"/>
          <w:b/>
          <w:bCs/>
          <w:color w:val="auto"/>
          <w:spacing w:val="3"/>
          <w:sz w:val="24"/>
          <w:highlight w:val="none"/>
        </w:rPr>
        <w:t>甲方：</w:t>
      </w:r>
    </w:p>
    <w:p w14:paraId="6F93C2B0">
      <w:pPr>
        <w:spacing w:line="440" w:lineRule="exact"/>
        <w:outlineLvl w:val="6"/>
        <w:rPr>
          <w:rFonts w:asciiTheme="minorEastAsia" w:hAnsiTheme="minorEastAsia" w:eastAsiaTheme="minorEastAsia" w:cstheme="minorEastAsia"/>
          <w:b/>
          <w:bCs/>
          <w:color w:val="auto"/>
          <w:spacing w:val="3"/>
          <w:sz w:val="24"/>
          <w:highlight w:val="none"/>
        </w:rPr>
      </w:pPr>
      <w:r>
        <w:rPr>
          <w:rFonts w:hint="eastAsia" w:asciiTheme="minorEastAsia" w:hAnsiTheme="minorEastAsia" w:eastAsiaTheme="minorEastAsia" w:cstheme="minorEastAsia"/>
          <w:b/>
          <w:bCs/>
          <w:color w:val="auto"/>
          <w:spacing w:val="3"/>
          <w:sz w:val="24"/>
          <w:highlight w:val="none"/>
        </w:rPr>
        <w:t>乙方：</w:t>
      </w:r>
    </w:p>
    <w:p w14:paraId="12A0C8E9">
      <w:pPr>
        <w:widowControl/>
        <w:ind w:firstLine="464"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本合同订立遵循《中华人民共和国民法典》等法律法规，按照招、投标文件要求，双方经协商，就甲方委托乙方对污染源（废气）在线监测系统进行运行维护事宜达成以下条款：</w:t>
      </w:r>
    </w:p>
    <w:p w14:paraId="3D484692">
      <w:pPr>
        <w:widowControl/>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一、服务内容、价格 </w:t>
      </w:r>
    </w:p>
    <w:p w14:paraId="18C82429">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乙方保证向甲方提供如下内容的服务：</w:t>
      </w:r>
    </w:p>
    <w:tbl>
      <w:tblPr>
        <w:tblStyle w:val="25"/>
        <w:tblW w:w="98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01"/>
        <w:gridCol w:w="1560"/>
        <w:gridCol w:w="876"/>
        <w:gridCol w:w="1701"/>
        <w:gridCol w:w="1836"/>
        <w:gridCol w:w="785"/>
      </w:tblGrid>
      <w:tr w14:paraId="5CC6C4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3101" w:type="dxa"/>
            <w:vAlign w:val="center"/>
          </w:tcPr>
          <w:p w14:paraId="511FF98F">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服务名称</w:t>
            </w:r>
          </w:p>
        </w:tc>
        <w:tc>
          <w:tcPr>
            <w:tcW w:w="1560" w:type="dxa"/>
            <w:vAlign w:val="center"/>
          </w:tcPr>
          <w:p w14:paraId="52B5B36C">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数量（套）</w:t>
            </w:r>
          </w:p>
        </w:tc>
        <w:tc>
          <w:tcPr>
            <w:tcW w:w="876" w:type="dxa"/>
            <w:vAlign w:val="center"/>
          </w:tcPr>
          <w:p w14:paraId="1FB11339">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年限</w:t>
            </w:r>
          </w:p>
        </w:tc>
        <w:tc>
          <w:tcPr>
            <w:tcW w:w="1701" w:type="dxa"/>
            <w:vAlign w:val="center"/>
          </w:tcPr>
          <w:p w14:paraId="673B3524">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单价</w:t>
            </w:r>
          </w:p>
          <w:p w14:paraId="65729233">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(万元/套/年)</w:t>
            </w:r>
          </w:p>
        </w:tc>
        <w:tc>
          <w:tcPr>
            <w:tcW w:w="1836" w:type="dxa"/>
            <w:vAlign w:val="center"/>
          </w:tcPr>
          <w:p w14:paraId="775F8C7C">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总价（万元）</w:t>
            </w:r>
          </w:p>
        </w:tc>
        <w:tc>
          <w:tcPr>
            <w:tcW w:w="785" w:type="dxa"/>
            <w:vAlign w:val="center"/>
          </w:tcPr>
          <w:p w14:paraId="279D68B6">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4726F6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3101" w:type="dxa"/>
            <w:vAlign w:val="center"/>
          </w:tcPr>
          <w:p w14:paraId="50767075">
            <w:pPr>
              <w:widowControl/>
              <w:jc w:val="center"/>
              <w:rPr>
                <w:rFonts w:asciiTheme="minorEastAsia" w:hAnsiTheme="minorEastAsia" w:eastAsiaTheme="minorEastAsia" w:cstheme="minorEastAsia"/>
                <w:color w:val="auto"/>
                <w:sz w:val="24"/>
                <w:highlight w:val="none"/>
              </w:rPr>
            </w:pPr>
            <w:r>
              <w:rPr>
                <w:rFonts w:hint="eastAsia" w:ascii="宋体" w:hAnsi="宋体" w:eastAsia="宋体" w:cs="宋体"/>
                <w:color w:val="auto"/>
                <w:sz w:val="24"/>
                <w:highlight w:val="none"/>
              </w:rPr>
              <w:t>污染源（废气）在线监测系统及配套系统驻场运维服务</w:t>
            </w:r>
          </w:p>
        </w:tc>
        <w:tc>
          <w:tcPr>
            <w:tcW w:w="1560" w:type="dxa"/>
            <w:vAlign w:val="center"/>
          </w:tcPr>
          <w:p w14:paraId="6AC524A0">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876" w:type="dxa"/>
            <w:vAlign w:val="center"/>
          </w:tcPr>
          <w:p w14:paraId="281AEC16">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1年</w:t>
            </w:r>
          </w:p>
        </w:tc>
        <w:tc>
          <w:tcPr>
            <w:tcW w:w="1701" w:type="dxa"/>
            <w:vAlign w:val="center"/>
          </w:tcPr>
          <w:p w14:paraId="2BDFD971">
            <w:pPr>
              <w:widowControl/>
              <w:jc w:val="center"/>
              <w:rPr>
                <w:rFonts w:asciiTheme="minorEastAsia" w:hAnsiTheme="minorEastAsia" w:eastAsiaTheme="minorEastAsia" w:cstheme="minorEastAsia"/>
                <w:color w:val="auto"/>
                <w:sz w:val="24"/>
                <w:highlight w:val="none"/>
              </w:rPr>
            </w:pPr>
          </w:p>
        </w:tc>
        <w:tc>
          <w:tcPr>
            <w:tcW w:w="1836" w:type="dxa"/>
            <w:vAlign w:val="center"/>
          </w:tcPr>
          <w:p w14:paraId="45A58889">
            <w:pPr>
              <w:widowControl/>
              <w:jc w:val="center"/>
              <w:rPr>
                <w:rFonts w:asciiTheme="minorEastAsia" w:hAnsiTheme="minorEastAsia" w:eastAsiaTheme="minorEastAsia" w:cstheme="minorEastAsia"/>
                <w:color w:val="auto"/>
                <w:sz w:val="24"/>
                <w:highlight w:val="none"/>
              </w:rPr>
            </w:pPr>
          </w:p>
        </w:tc>
        <w:tc>
          <w:tcPr>
            <w:tcW w:w="785" w:type="dxa"/>
            <w:vAlign w:val="center"/>
          </w:tcPr>
          <w:p w14:paraId="7A73CA5B">
            <w:pPr>
              <w:widowControl/>
              <w:jc w:val="center"/>
              <w:rPr>
                <w:rFonts w:asciiTheme="minorEastAsia" w:hAnsiTheme="minorEastAsia" w:eastAsiaTheme="minorEastAsia" w:cstheme="minorEastAsia"/>
                <w:color w:val="auto"/>
                <w:sz w:val="24"/>
                <w:highlight w:val="none"/>
              </w:rPr>
            </w:pPr>
          </w:p>
        </w:tc>
      </w:tr>
      <w:tr w14:paraId="12C21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3101" w:type="dxa"/>
            <w:vAlign w:val="center"/>
          </w:tcPr>
          <w:p w14:paraId="3CBA2744">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合同总价（人民币小写）：</w:t>
            </w:r>
          </w:p>
        </w:tc>
        <w:tc>
          <w:tcPr>
            <w:tcW w:w="6758" w:type="dxa"/>
            <w:gridSpan w:val="5"/>
            <w:vAlign w:val="center"/>
          </w:tcPr>
          <w:p w14:paraId="4C812DAD">
            <w:pPr>
              <w:widowControl/>
              <w:jc w:val="center"/>
              <w:rPr>
                <w:rFonts w:asciiTheme="minorEastAsia" w:hAnsiTheme="minorEastAsia" w:eastAsiaTheme="minorEastAsia" w:cstheme="minorEastAsia"/>
                <w:color w:val="auto"/>
                <w:sz w:val="24"/>
                <w:highlight w:val="none"/>
              </w:rPr>
            </w:pPr>
          </w:p>
        </w:tc>
      </w:tr>
      <w:tr w14:paraId="59439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3101" w:type="dxa"/>
            <w:vAlign w:val="center"/>
          </w:tcPr>
          <w:p w14:paraId="3AA2C77E">
            <w:pPr>
              <w:widowControl/>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合同总价（人民币大写）：</w:t>
            </w:r>
          </w:p>
        </w:tc>
        <w:tc>
          <w:tcPr>
            <w:tcW w:w="6758" w:type="dxa"/>
            <w:gridSpan w:val="5"/>
            <w:vAlign w:val="center"/>
          </w:tcPr>
          <w:p w14:paraId="11CBFA07">
            <w:pPr>
              <w:widowControl/>
              <w:jc w:val="center"/>
              <w:rPr>
                <w:rFonts w:asciiTheme="minorEastAsia" w:hAnsiTheme="minorEastAsia" w:eastAsiaTheme="minorEastAsia" w:cstheme="minorEastAsia"/>
                <w:color w:val="auto"/>
                <w:sz w:val="24"/>
                <w:highlight w:val="none"/>
              </w:rPr>
            </w:pPr>
          </w:p>
        </w:tc>
      </w:tr>
    </w:tbl>
    <w:p w14:paraId="16F2ED96">
      <w:pPr>
        <w:widowControl/>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以上价格已经包括合同范围内的日常运维费、日常保养费、日常检修费、标气费、第三方检测机构比对检测费用、设备大修费、专用增值税费、运输费用、保险费用、技术服务费用、附属设备维保费等所有相关费用。</w:t>
      </w:r>
    </w:p>
    <w:p w14:paraId="7504D20B">
      <w:pPr>
        <w:widowControl/>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设备及服务清单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078"/>
        <w:gridCol w:w="2958"/>
      </w:tblGrid>
      <w:tr w14:paraId="2D98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20" w:type="dxa"/>
            <w:vAlign w:val="center"/>
          </w:tcPr>
          <w:p w14:paraId="1BBFB2B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名称</w:t>
            </w:r>
          </w:p>
        </w:tc>
        <w:tc>
          <w:tcPr>
            <w:tcW w:w="3321" w:type="dxa"/>
            <w:vAlign w:val="center"/>
          </w:tcPr>
          <w:p w14:paraId="67DA091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规格</w:t>
            </w:r>
          </w:p>
        </w:tc>
        <w:tc>
          <w:tcPr>
            <w:tcW w:w="3321" w:type="dxa"/>
            <w:vAlign w:val="center"/>
          </w:tcPr>
          <w:p w14:paraId="639F66A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数量</w:t>
            </w:r>
          </w:p>
        </w:tc>
      </w:tr>
      <w:tr w14:paraId="16AF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9952AE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标气（O2）低</w:t>
            </w:r>
          </w:p>
        </w:tc>
        <w:tc>
          <w:tcPr>
            <w:tcW w:w="3321" w:type="dxa"/>
            <w:vAlign w:val="center"/>
          </w:tcPr>
          <w:p w14:paraId="4260573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174772F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0187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966B73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标气(02）中</w:t>
            </w:r>
          </w:p>
        </w:tc>
        <w:tc>
          <w:tcPr>
            <w:tcW w:w="3321" w:type="dxa"/>
            <w:vAlign w:val="center"/>
          </w:tcPr>
          <w:p w14:paraId="227AD56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298465C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14E3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0" w:type="dxa"/>
            <w:vAlign w:val="center"/>
          </w:tcPr>
          <w:p w14:paraId="51A0448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标气(02）高</w:t>
            </w:r>
          </w:p>
        </w:tc>
        <w:tc>
          <w:tcPr>
            <w:tcW w:w="3321" w:type="dxa"/>
            <w:vAlign w:val="center"/>
          </w:tcPr>
          <w:p w14:paraId="271E0AB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52EF1F3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64瓶</w:t>
            </w:r>
          </w:p>
        </w:tc>
      </w:tr>
      <w:tr w14:paraId="7E98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747A78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标气（SO2）高</w:t>
            </w:r>
          </w:p>
        </w:tc>
        <w:tc>
          <w:tcPr>
            <w:tcW w:w="3321" w:type="dxa"/>
            <w:vAlign w:val="center"/>
          </w:tcPr>
          <w:p w14:paraId="30A729E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6CF7EA7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64瓶</w:t>
            </w:r>
          </w:p>
        </w:tc>
      </w:tr>
      <w:tr w14:paraId="3AA0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DEE352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标气（SO2）中</w:t>
            </w:r>
          </w:p>
        </w:tc>
        <w:tc>
          <w:tcPr>
            <w:tcW w:w="3321" w:type="dxa"/>
            <w:vAlign w:val="center"/>
          </w:tcPr>
          <w:p w14:paraId="7A7C8DE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4C7372A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6150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76EDE9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标气（SO2）低</w:t>
            </w:r>
          </w:p>
        </w:tc>
        <w:tc>
          <w:tcPr>
            <w:tcW w:w="3321" w:type="dxa"/>
            <w:vAlign w:val="center"/>
          </w:tcPr>
          <w:p w14:paraId="11C3E83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6772913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52BF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FDC28F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标气（NO）高</w:t>
            </w:r>
          </w:p>
        </w:tc>
        <w:tc>
          <w:tcPr>
            <w:tcW w:w="3321" w:type="dxa"/>
            <w:vAlign w:val="center"/>
          </w:tcPr>
          <w:p w14:paraId="5C077BF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78DCC9B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64瓶</w:t>
            </w:r>
          </w:p>
        </w:tc>
      </w:tr>
      <w:tr w14:paraId="4008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E02262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标气（NO）中</w:t>
            </w:r>
          </w:p>
        </w:tc>
        <w:tc>
          <w:tcPr>
            <w:tcW w:w="3321" w:type="dxa"/>
            <w:vAlign w:val="center"/>
          </w:tcPr>
          <w:p w14:paraId="24266DD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7985DDE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32E8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17EF58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标气（NO）低</w:t>
            </w:r>
          </w:p>
        </w:tc>
        <w:tc>
          <w:tcPr>
            <w:tcW w:w="3321" w:type="dxa"/>
            <w:vAlign w:val="center"/>
          </w:tcPr>
          <w:p w14:paraId="6A58809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6F2BBDC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0104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7E322E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标气（N2）</w:t>
            </w:r>
          </w:p>
        </w:tc>
        <w:tc>
          <w:tcPr>
            <w:tcW w:w="3321" w:type="dxa"/>
            <w:vAlign w:val="center"/>
          </w:tcPr>
          <w:p w14:paraId="2157344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8L</w:t>
            </w:r>
          </w:p>
        </w:tc>
        <w:tc>
          <w:tcPr>
            <w:tcW w:w="3321" w:type="dxa"/>
            <w:vAlign w:val="center"/>
          </w:tcPr>
          <w:p w14:paraId="148BF13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16瓶</w:t>
            </w:r>
          </w:p>
        </w:tc>
      </w:tr>
      <w:tr w14:paraId="0736B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CBC1BA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NOx分析仪臭氧模块</w:t>
            </w:r>
          </w:p>
        </w:tc>
        <w:tc>
          <w:tcPr>
            <w:tcW w:w="3321" w:type="dxa"/>
            <w:vAlign w:val="center"/>
          </w:tcPr>
          <w:p w14:paraId="0FBE9C4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106P206012E</w:t>
            </w:r>
          </w:p>
        </w:tc>
        <w:tc>
          <w:tcPr>
            <w:tcW w:w="3321" w:type="dxa"/>
            <w:vAlign w:val="center"/>
          </w:tcPr>
          <w:p w14:paraId="300E66D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3CBF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260738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LEEG 压力变送器</w:t>
            </w:r>
          </w:p>
        </w:tc>
        <w:tc>
          <w:tcPr>
            <w:tcW w:w="3321" w:type="dxa"/>
            <w:vAlign w:val="center"/>
          </w:tcPr>
          <w:p w14:paraId="790BD11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DMP305X</w:t>
            </w:r>
          </w:p>
        </w:tc>
        <w:tc>
          <w:tcPr>
            <w:tcW w:w="3321" w:type="dxa"/>
            <w:vAlign w:val="center"/>
          </w:tcPr>
          <w:p w14:paraId="3BA6E0F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03F7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704F83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NOx分析仪检测模块</w:t>
            </w:r>
          </w:p>
        </w:tc>
        <w:tc>
          <w:tcPr>
            <w:tcW w:w="3321" w:type="dxa"/>
            <w:vAlign w:val="center"/>
          </w:tcPr>
          <w:p w14:paraId="59E6BBA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13401AF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7217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F201ED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NOx分析仪显示屏组件</w:t>
            </w:r>
          </w:p>
        </w:tc>
        <w:tc>
          <w:tcPr>
            <w:tcW w:w="3321" w:type="dxa"/>
            <w:vAlign w:val="center"/>
          </w:tcPr>
          <w:p w14:paraId="23B43A0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38A360E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46CF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E5BA98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SO2分析仪显示屏组件</w:t>
            </w:r>
          </w:p>
        </w:tc>
        <w:tc>
          <w:tcPr>
            <w:tcW w:w="3321" w:type="dxa"/>
            <w:vAlign w:val="center"/>
          </w:tcPr>
          <w:p w14:paraId="0392612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42D103C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4629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0163B68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SO2分析仪检测模块</w:t>
            </w:r>
          </w:p>
        </w:tc>
        <w:tc>
          <w:tcPr>
            <w:tcW w:w="3321" w:type="dxa"/>
            <w:vAlign w:val="center"/>
          </w:tcPr>
          <w:p w14:paraId="0CAA73F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0FD106D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291D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B45D45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SO2分析仪直流开关电源</w:t>
            </w:r>
          </w:p>
        </w:tc>
        <w:tc>
          <w:tcPr>
            <w:tcW w:w="3321" w:type="dxa"/>
            <w:vAlign w:val="center"/>
          </w:tcPr>
          <w:p w14:paraId="4927787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0D8C688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5E19B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615A60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NOx分析仪直流开关电源</w:t>
            </w:r>
          </w:p>
        </w:tc>
        <w:tc>
          <w:tcPr>
            <w:tcW w:w="3321" w:type="dxa"/>
            <w:vAlign w:val="center"/>
          </w:tcPr>
          <w:p w14:paraId="4CC8F48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1EF4DEE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6F51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E6E563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工业平板电脑</w:t>
            </w:r>
          </w:p>
        </w:tc>
        <w:tc>
          <w:tcPr>
            <w:tcW w:w="3321" w:type="dxa"/>
            <w:vAlign w:val="center"/>
          </w:tcPr>
          <w:p w14:paraId="426BD35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TPC60000</w:t>
            </w:r>
          </w:p>
        </w:tc>
        <w:tc>
          <w:tcPr>
            <w:tcW w:w="3321" w:type="dxa"/>
            <w:vAlign w:val="center"/>
          </w:tcPr>
          <w:p w14:paraId="6369B74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4D3A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B2FBAF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湿度模块</w:t>
            </w:r>
          </w:p>
        </w:tc>
        <w:tc>
          <w:tcPr>
            <w:tcW w:w="3321" w:type="dxa"/>
            <w:vAlign w:val="center"/>
          </w:tcPr>
          <w:p w14:paraId="6ADD4DC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PH-200</w:t>
            </w:r>
          </w:p>
        </w:tc>
        <w:tc>
          <w:tcPr>
            <w:tcW w:w="3321" w:type="dxa"/>
            <w:vAlign w:val="center"/>
          </w:tcPr>
          <w:p w14:paraId="074111B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44FF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8B4533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湿度传感器</w:t>
            </w:r>
          </w:p>
        </w:tc>
        <w:tc>
          <w:tcPr>
            <w:tcW w:w="3321" w:type="dxa"/>
            <w:vAlign w:val="center"/>
          </w:tcPr>
          <w:p w14:paraId="36DDE3D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PH-200</w:t>
            </w:r>
          </w:p>
        </w:tc>
        <w:tc>
          <w:tcPr>
            <w:tcW w:w="3321" w:type="dxa"/>
            <w:vAlign w:val="center"/>
          </w:tcPr>
          <w:p w14:paraId="31BC064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1981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72EF3E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压力传感器</w:t>
            </w:r>
          </w:p>
        </w:tc>
        <w:tc>
          <w:tcPr>
            <w:tcW w:w="3321" w:type="dxa"/>
            <w:vAlign w:val="center"/>
          </w:tcPr>
          <w:p w14:paraId="776CEE5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SMP131</w:t>
            </w:r>
          </w:p>
        </w:tc>
        <w:tc>
          <w:tcPr>
            <w:tcW w:w="3321" w:type="dxa"/>
            <w:vAlign w:val="center"/>
          </w:tcPr>
          <w:p w14:paraId="0B1EAC9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0EFA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47D37A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温度传感器</w:t>
            </w:r>
          </w:p>
        </w:tc>
        <w:tc>
          <w:tcPr>
            <w:tcW w:w="3321" w:type="dxa"/>
            <w:vAlign w:val="center"/>
          </w:tcPr>
          <w:p w14:paraId="752213B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JTR1002</w:t>
            </w:r>
          </w:p>
        </w:tc>
        <w:tc>
          <w:tcPr>
            <w:tcW w:w="3321" w:type="dxa"/>
            <w:vAlign w:val="center"/>
          </w:tcPr>
          <w:p w14:paraId="69BDF08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8个</w:t>
            </w:r>
          </w:p>
        </w:tc>
      </w:tr>
      <w:tr w14:paraId="2ACB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4E030C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烟尘分析仪</w:t>
            </w:r>
          </w:p>
        </w:tc>
        <w:tc>
          <w:tcPr>
            <w:tcW w:w="3321" w:type="dxa"/>
            <w:vAlign w:val="center"/>
          </w:tcPr>
          <w:p w14:paraId="50C0A59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D-300</w:t>
            </w:r>
          </w:p>
        </w:tc>
        <w:tc>
          <w:tcPr>
            <w:tcW w:w="3321" w:type="dxa"/>
            <w:vAlign w:val="center"/>
          </w:tcPr>
          <w:p w14:paraId="3783BEF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59775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2D83B2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集线器模块</w:t>
            </w:r>
          </w:p>
        </w:tc>
        <w:tc>
          <w:tcPr>
            <w:tcW w:w="3321" w:type="dxa"/>
            <w:vAlign w:val="center"/>
          </w:tcPr>
          <w:p w14:paraId="7468158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62E1555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5FB4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821104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温度模块</w:t>
            </w:r>
          </w:p>
        </w:tc>
        <w:tc>
          <w:tcPr>
            <w:tcW w:w="3321" w:type="dxa"/>
            <w:vAlign w:val="center"/>
          </w:tcPr>
          <w:p w14:paraId="6C7B526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6293371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1638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C6431F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PLC模块</w:t>
            </w:r>
          </w:p>
        </w:tc>
        <w:tc>
          <w:tcPr>
            <w:tcW w:w="3321" w:type="dxa"/>
            <w:vAlign w:val="center"/>
          </w:tcPr>
          <w:p w14:paraId="4869BC3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SLMATIC S7-200</w:t>
            </w:r>
          </w:p>
        </w:tc>
        <w:tc>
          <w:tcPr>
            <w:tcW w:w="3321" w:type="dxa"/>
            <w:vAlign w:val="center"/>
          </w:tcPr>
          <w:p w14:paraId="1125751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4162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D8623F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CKT电磁阀</w:t>
            </w:r>
          </w:p>
        </w:tc>
        <w:tc>
          <w:tcPr>
            <w:tcW w:w="3321" w:type="dxa"/>
            <w:vAlign w:val="center"/>
          </w:tcPr>
          <w:p w14:paraId="5C5D647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AB41-02-4</w:t>
            </w:r>
          </w:p>
        </w:tc>
        <w:tc>
          <w:tcPr>
            <w:tcW w:w="3321" w:type="dxa"/>
            <w:vAlign w:val="center"/>
          </w:tcPr>
          <w:p w14:paraId="77DB211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40只</w:t>
            </w:r>
          </w:p>
        </w:tc>
      </w:tr>
      <w:tr w14:paraId="500F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9F3F7E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氧分析仪</w:t>
            </w:r>
          </w:p>
        </w:tc>
        <w:tc>
          <w:tcPr>
            <w:tcW w:w="3321" w:type="dxa"/>
            <w:vAlign w:val="center"/>
          </w:tcPr>
          <w:p w14:paraId="0B678FA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HMS-200</w:t>
            </w:r>
          </w:p>
        </w:tc>
        <w:tc>
          <w:tcPr>
            <w:tcW w:w="3321" w:type="dxa"/>
            <w:vAlign w:val="center"/>
          </w:tcPr>
          <w:p w14:paraId="76A13E2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8台</w:t>
            </w:r>
          </w:p>
        </w:tc>
      </w:tr>
      <w:tr w14:paraId="1980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A15189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门禁系统</w:t>
            </w:r>
          </w:p>
        </w:tc>
        <w:tc>
          <w:tcPr>
            <w:tcW w:w="3321" w:type="dxa"/>
            <w:vAlign w:val="center"/>
          </w:tcPr>
          <w:p w14:paraId="4383D12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NX7</w:t>
            </w:r>
          </w:p>
        </w:tc>
        <w:tc>
          <w:tcPr>
            <w:tcW w:w="3321" w:type="dxa"/>
            <w:vAlign w:val="center"/>
          </w:tcPr>
          <w:p w14:paraId="21E7AE2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3套</w:t>
            </w:r>
          </w:p>
        </w:tc>
      </w:tr>
      <w:tr w14:paraId="655F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5EBB97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零气发生器</w:t>
            </w:r>
          </w:p>
        </w:tc>
        <w:tc>
          <w:tcPr>
            <w:tcW w:w="3321" w:type="dxa"/>
            <w:vAlign w:val="center"/>
          </w:tcPr>
          <w:p w14:paraId="3B6E718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S-100</w:t>
            </w:r>
          </w:p>
        </w:tc>
        <w:tc>
          <w:tcPr>
            <w:tcW w:w="3321" w:type="dxa"/>
            <w:vAlign w:val="center"/>
          </w:tcPr>
          <w:p w14:paraId="0704ACC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8台</w:t>
            </w:r>
          </w:p>
        </w:tc>
      </w:tr>
      <w:tr w14:paraId="3D3F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6EA84B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温控器</w:t>
            </w:r>
          </w:p>
        </w:tc>
        <w:tc>
          <w:tcPr>
            <w:tcW w:w="3321" w:type="dxa"/>
            <w:vAlign w:val="center"/>
          </w:tcPr>
          <w:p w14:paraId="721058F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TK4S</w:t>
            </w:r>
          </w:p>
        </w:tc>
        <w:tc>
          <w:tcPr>
            <w:tcW w:w="3321" w:type="dxa"/>
            <w:vAlign w:val="center"/>
          </w:tcPr>
          <w:p w14:paraId="5BDEDF5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16只</w:t>
            </w:r>
          </w:p>
        </w:tc>
      </w:tr>
      <w:tr w14:paraId="404A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1A14CE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采样探头加热模块</w:t>
            </w:r>
          </w:p>
        </w:tc>
        <w:tc>
          <w:tcPr>
            <w:tcW w:w="3321" w:type="dxa"/>
            <w:vAlign w:val="center"/>
          </w:tcPr>
          <w:p w14:paraId="4C837B4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1B7B025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4AE5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C020F5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氧化锆头及探杆</w:t>
            </w:r>
          </w:p>
        </w:tc>
        <w:tc>
          <w:tcPr>
            <w:tcW w:w="3321" w:type="dxa"/>
            <w:vAlign w:val="center"/>
          </w:tcPr>
          <w:p w14:paraId="2986DA1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4F32D75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5D17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C64A69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温湿流皮托管</w:t>
            </w:r>
          </w:p>
        </w:tc>
        <w:tc>
          <w:tcPr>
            <w:tcW w:w="3321" w:type="dxa"/>
            <w:vAlign w:val="center"/>
          </w:tcPr>
          <w:p w14:paraId="1DB0B9E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450FBAE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18FC8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6EBC49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音速小孔过滤网</w:t>
            </w:r>
          </w:p>
        </w:tc>
        <w:tc>
          <w:tcPr>
            <w:tcW w:w="3321" w:type="dxa"/>
            <w:vAlign w:val="center"/>
          </w:tcPr>
          <w:p w14:paraId="0A0554B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2D1635A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8个</w:t>
            </w:r>
          </w:p>
        </w:tc>
      </w:tr>
      <w:tr w14:paraId="490F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6B1442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音速小孔组件</w:t>
            </w:r>
          </w:p>
        </w:tc>
        <w:tc>
          <w:tcPr>
            <w:tcW w:w="3321" w:type="dxa"/>
            <w:vAlign w:val="center"/>
          </w:tcPr>
          <w:p w14:paraId="68CD950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349D400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8套</w:t>
            </w:r>
          </w:p>
        </w:tc>
      </w:tr>
      <w:tr w14:paraId="6011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D057DD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音速小孔密封圈</w:t>
            </w:r>
          </w:p>
        </w:tc>
        <w:tc>
          <w:tcPr>
            <w:tcW w:w="3321" w:type="dxa"/>
            <w:vAlign w:val="center"/>
          </w:tcPr>
          <w:p w14:paraId="6B20318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0948AFE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32个</w:t>
            </w:r>
          </w:p>
        </w:tc>
      </w:tr>
      <w:tr w14:paraId="2F43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85F27C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采样探头滤芯</w:t>
            </w:r>
          </w:p>
        </w:tc>
        <w:tc>
          <w:tcPr>
            <w:tcW w:w="3321" w:type="dxa"/>
            <w:vAlign w:val="center"/>
          </w:tcPr>
          <w:p w14:paraId="7829FD3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5903700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7CF1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4272F3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烟尘仪测量板</w:t>
            </w:r>
          </w:p>
        </w:tc>
        <w:tc>
          <w:tcPr>
            <w:tcW w:w="3321" w:type="dxa"/>
            <w:vAlign w:val="center"/>
          </w:tcPr>
          <w:p w14:paraId="7EB9405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6EC5B26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0430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5512A2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SO2分析仪流量控制板</w:t>
            </w:r>
          </w:p>
        </w:tc>
        <w:tc>
          <w:tcPr>
            <w:tcW w:w="3321" w:type="dxa"/>
            <w:vAlign w:val="center"/>
          </w:tcPr>
          <w:p w14:paraId="5CC7D24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52B299A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3F66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C080DFC">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NOx分析仪流量控制板</w:t>
            </w:r>
          </w:p>
        </w:tc>
        <w:tc>
          <w:tcPr>
            <w:tcW w:w="3321" w:type="dxa"/>
            <w:vAlign w:val="center"/>
          </w:tcPr>
          <w:p w14:paraId="7BA44DF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1978988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4C44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57ED5DF">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SO2分析仪测量电路板</w:t>
            </w:r>
          </w:p>
        </w:tc>
        <w:tc>
          <w:tcPr>
            <w:tcW w:w="3321" w:type="dxa"/>
            <w:vAlign w:val="center"/>
          </w:tcPr>
          <w:p w14:paraId="253FA80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46EB075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50AD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21580E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NOx分析仪测量电路板</w:t>
            </w:r>
          </w:p>
        </w:tc>
        <w:tc>
          <w:tcPr>
            <w:tcW w:w="3321" w:type="dxa"/>
            <w:vAlign w:val="center"/>
          </w:tcPr>
          <w:p w14:paraId="4628EE6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06FC9D71">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65A8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AC08E0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NOx钼转化炉</w:t>
            </w:r>
          </w:p>
        </w:tc>
        <w:tc>
          <w:tcPr>
            <w:tcW w:w="3321" w:type="dxa"/>
            <w:vAlign w:val="center"/>
          </w:tcPr>
          <w:p w14:paraId="034BC73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05998BD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383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364FD6A">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SO2分析仪驱动板</w:t>
            </w:r>
          </w:p>
        </w:tc>
        <w:tc>
          <w:tcPr>
            <w:tcW w:w="3321" w:type="dxa"/>
            <w:vAlign w:val="center"/>
          </w:tcPr>
          <w:p w14:paraId="75D4258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1252C30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17C9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20D95D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NOx分析仪驱动板</w:t>
            </w:r>
          </w:p>
        </w:tc>
        <w:tc>
          <w:tcPr>
            <w:tcW w:w="3321" w:type="dxa"/>
            <w:vAlign w:val="center"/>
          </w:tcPr>
          <w:p w14:paraId="62E93669">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4F13CB5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21D5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0D0708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继电器</w:t>
            </w:r>
          </w:p>
        </w:tc>
        <w:tc>
          <w:tcPr>
            <w:tcW w:w="3321" w:type="dxa"/>
            <w:vAlign w:val="center"/>
          </w:tcPr>
          <w:p w14:paraId="77D6CC7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G2R-1 SND(S)</w:t>
            </w:r>
          </w:p>
        </w:tc>
        <w:tc>
          <w:tcPr>
            <w:tcW w:w="3321" w:type="dxa"/>
            <w:vAlign w:val="center"/>
          </w:tcPr>
          <w:p w14:paraId="3272E99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80只</w:t>
            </w:r>
          </w:p>
        </w:tc>
      </w:tr>
      <w:tr w14:paraId="7B90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0D58AE7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采样探头固态继电器</w:t>
            </w:r>
          </w:p>
        </w:tc>
        <w:tc>
          <w:tcPr>
            <w:tcW w:w="3321" w:type="dxa"/>
            <w:vAlign w:val="center"/>
          </w:tcPr>
          <w:p w14:paraId="045500E8">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SSR-8</w:t>
            </w:r>
          </w:p>
        </w:tc>
        <w:tc>
          <w:tcPr>
            <w:tcW w:w="3321" w:type="dxa"/>
            <w:vAlign w:val="center"/>
          </w:tcPr>
          <w:p w14:paraId="1630A47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8只</w:t>
            </w:r>
          </w:p>
        </w:tc>
      </w:tr>
      <w:tr w14:paraId="7B9CA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52883B2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GAST真空泵</w:t>
            </w:r>
          </w:p>
        </w:tc>
        <w:tc>
          <w:tcPr>
            <w:tcW w:w="3321" w:type="dxa"/>
            <w:vAlign w:val="center"/>
          </w:tcPr>
          <w:p w14:paraId="5486087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87R142-403H</w:t>
            </w:r>
          </w:p>
        </w:tc>
        <w:tc>
          <w:tcPr>
            <w:tcW w:w="3321" w:type="dxa"/>
            <w:vAlign w:val="center"/>
          </w:tcPr>
          <w:p w14:paraId="0A00F5D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16只</w:t>
            </w:r>
          </w:p>
        </w:tc>
      </w:tr>
      <w:tr w14:paraId="1F2F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6F324B3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RS-232转RS485模块</w:t>
            </w:r>
          </w:p>
        </w:tc>
        <w:tc>
          <w:tcPr>
            <w:tcW w:w="3321" w:type="dxa"/>
            <w:vAlign w:val="center"/>
          </w:tcPr>
          <w:p w14:paraId="2E8F90D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UT-502</w:t>
            </w:r>
          </w:p>
        </w:tc>
        <w:tc>
          <w:tcPr>
            <w:tcW w:w="3321" w:type="dxa"/>
            <w:vAlign w:val="center"/>
          </w:tcPr>
          <w:p w14:paraId="40F65EF7">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16只</w:t>
            </w:r>
          </w:p>
        </w:tc>
      </w:tr>
      <w:tr w14:paraId="6C3F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0A155B4">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SO2分析仪通讯板</w:t>
            </w:r>
          </w:p>
        </w:tc>
        <w:tc>
          <w:tcPr>
            <w:tcW w:w="3321" w:type="dxa"/>
            <w:vAlign w:val="center"/>
          </w:tcPr>
          <w:p w14:paraId="123E7C2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463633A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2A19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7B060C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NOx分析仪通讯板</w:t>
            </w:r>
          </w:p>
        </w:tc>
        <w:tc>
          <w:tcPr>
            <w:tcW w:w="3321" w:type="dxa"/>
            <w:vAlign w:val="center"/>
          </w:tcPr>
          <w:p w14:paraId="5ED5111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w:t>
            </w:r>
          </w:p>
        </w:tc>
        <w:tc>
          <w:tcPr>
            <w:tcW w:w="3321" w:type="dxa"/>
            <w:vAlign w:val="center"/>
          </w:tcPr>
          <w:p w14:paraId="4BB47A46">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8块</w:t>
            </w:r>
          </w:p>
        </w:tc>
      </w:tr>
      <w:tr w14:paraId="5F6C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2BF1D96E">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SO2主分析仪</w:t>
            </w:r>
          </w:p>
        </w:tc>
        <w:tc>
          <w:tcPr>
            <w:tcW w:w="3321" w:type="dxa"/>
            <w:vAlign w:val="center"/>
          </w:tcPr>
          <w:p w14:paraId="7159A2B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S-500</w:t>
            </w:r>
          </w:p>
        </w:tc>
        <w:tc>
          <w:tcPr>
            <w:tcW w:w="3321" w:type="dxa"/>
            <w:vAlign w:val="center"/>
          </w:tcPr>
          <w:p w14:paraId="49FD6642">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1台</w:t>
            </w:r>
          </w:p>
        </w:tc>
      </w:tr>
      <w:tr w14:paraId="6796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53ACBD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NOX主分析仪</w:t>
            </w:r>
          </w:p>
        </w:tc>
        <w:tc>
          <w:tcPr>
            <w:tcW w:w="3321" w:type="dxa"/>
            <w:vAlign w:val="center"/>
          </w:tcPr>
          <w:p w14:paraId="4BC5167D">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S-600</w:t>
            </w:r>
          </w:p>
        </w:tc>
        <w:tc>
          <w:tcPr>
            <w:tcW w:w="3321" w:type="dxa"/>
            <w:vAlign w:val="center"/>
          </w:tcPr>
          <w:p w14:paraId="10851C4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1台</w:t>
            </w:r>
          </w:p>
        </w:tc>
      </w:tr>
      <w:tr w14:paraId="759B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4BFAC52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冷干机维保</w:t>
            </w:r>
          </w:p>
        </w:tc>
        <w:tc>
          <w:tcPr>
            <w:tcW w:w="3321" w:type="dxa"/>
            <w:vAlign w:val="center"/>
          </w:tcPr>
          <w:p w14:paraId="33B6F2D3">
            <w:pPr>
              <w:jc w:val="center"/>
              <w:rPr>
                <w:rFonts w:hint="default"/>
                <w:color w:val="auto"/>
                <w:highlight w:val="none"/>
                <w:vertAlign w:val="baseline"/>
                <w:lang w:val="en-US" w:eastAsia="zh-CN"/>
              </w:rPr>
            </w:pPr>
          </w:p>
        </w:tc>
        <w:tc>
          <w:tcPr>
            <w:tcW w:w="3321" w:type="dxa"/>
            <w:vAlign w:val="center"/>
          </w:tcPr>
          <w:p w14:paraId="5120CFC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2台</w:t>
            </w:r>
          </w:p>
        </w:tc>
      </w:tr>
      <w:tr w14:paraId="6A67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71F3329B">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站房空调及配套设备维保</w:t>
            </w:r>
          </w:p>
        </w:tc>
        <w:tc>
          <w:tcPr>
            <w:tcW w:w="3321" w:type="dxa"/>
            <w:vAlign w:val="center"/>
          </w:tcPr>
          <w:p w14:paraId="6F959ED0">
            <w:pPr>
              <w:jc w:val="center"/>
              <w:rPr>
                <w:rFonts w:hint="default"/>
                <w:color w:val="auto"/>
                <w:highlight w:val="none"/>
                <w:vertAlign w:val="baseline"/>
                <w:lang w:val="en-US" w:eastAsia="zh-CN"/>
              </w:rPr>
            </w:pPr>
          </w:p>
        </w:tc>
        <w:tc>
          <w:tcPr>
            <w:tcW w:w="3321" w:type="dxa"/>
            <w:vAlign w:val="center"/>
          </w:tcPr>
          <w:p w14:paraId="4CA02F30">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2套</w:t>
            </w:r>
          </w:p>
        </w:tc>
      </w:tr>
      <w:tr w14:paraId="02AA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0" w:type="dxa"/>
            <w:vAlign w:val="center"/>
          </w:tcPr>
          <w:p w14:paraId="395952E5">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第三方季度比对</w:t>
            </w:r>
          </w:p>
        </w:tc>
        <w:tc>
          <w:tcPr>
            <w:tcW w:w="3321" w:type="dxa"/>
            <w:vAlign w:val="center"/>
          </w:tcPr>
          <w:p w14:paraId="6F18DFEF">
            <w:pPr>
              <w:jc w:val="center"/>
              <w:rPr>
                <w:rFonts w:hint="default"/>
                <w:color w:val="auto"/>
                <w:highlight w:val="none"/>
                <w:vertAlign w:val="baseline"/>
                <w:lang w:val="en-US" w:eastAsia="zh-CN"/>
              </w:rPr>
            </w:pPr>
          </w:p>
        </w:tc>
        <w:tc>
          <w:tcPr>
            <w:tcW w:w="3321" w:type="dxa"/>
            <w:vAlign w:val="center"/>
          </w:tcPr>
          <w:p w14:paraId="652A1C63">
            <w:pPr>
              <w:keepNext w:val="0"/>
              <w:keepLines w:val="0"/>
              <w:widowControl/>
              <w:suppressLineNumbers w:val="0"/>
              <w:jc w:val="center"/>
              <w:textAlignment w:val="center"/>
              <w:rPr>
                <w:rFonts w:hint="default"/>
                <w:color w:val="auto"/>
                <w:highlight w:val="none"/>
                <w:vertAlign w:val="baseline"/>
                <w:lang w:val="en-US" w:eastAsia="zh-CN"/>
              </w:rPr>
            </w:pPr>
            <w:r>
              <w:rPr>
                <w:rFonts w:hint="eastAsia" w:ascii="宋体" w:hAnsi="宋体" w:eastAsia="宋体" w:cs="宋体"/>
                <w:i w:val="0"/>
                <w:iCs w:val="0"/>
                <w:color w:val="auto"/>
                <w:kern w:val="0"/>
                <w:sz w:val="22"/>
                <w:szCs w:val="22"/>
                <w:highlight w:val="none"/>
                <w:u w:val="none"/>
                <w:lang w:val="en-US" w:eastAsia="zh-CN" w:bidi="ar"/>
              </w:rPr>
              <w:t>32次</w:t>
            </w:r>
          </w:p>
        </w:tc>
      </w:tr>
    </w:tbl>
    <w:p w14:paraId="443E6094">
      <w:pPr>
        <w:widowControl/>
        <w:ind w:firstLine="232" w:firstLineChars="100"/>
        <w:jc w:val="left"/>
        <w:rPr>
          <w:color w:val="auto"/>
          <w:highlight w:val="none"/>
        </w:rPr>
      </w:pPr>
      <w:r>
        <w:rPr>
          <w:rFonts w:hint="eastAsia" w:ascii="宋体" w:hAnsi="宋体" w:eastAsia="宋体" w:cs="宋体"/>
          <w:b/>
          <w:bCs/>
          <w:color w:val="auto"/>
          <w:sz w:val="24"/>
          <w:highlight w:val="none"/>
          <w:lang w:val="en-US" w:eastAsia="zh-CN"/>
        </w:rPr>
        <w:t>上表中在线检测系统设备的备件、耗材及服务（包括不限于）均由运维单位提供，采购人不再额外支付更换维修费用。</w:t>
      </w:r>
    </w:p>
    <w:p w14:paraId="39A6629A">
      <w:pPr>
        <w:widowControl/>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二、运维服务要求</w:t>
      </w:r>
    </w:p>
    <w:p w14:paraId="36BE5656">
      <w:pPr>
        <w:spacing w:line="440" w:lineRule="exact"/>
        <w:ind w:firstLine="406" w:firstLineChars="175"/>
        <w:rPr>
          <w:rFonts w:ascii="宋体" w:hAnsi="宋体" w:eastAsia="宋体" w:cs="宋体"/>
          <w:color w:val="auto"/>
          <w:sz w:val="24"/>
          <w:highlight w:val="none"/>
        </w:rPr>
      </w:pPr>
      <w:r>
        <w:rPr>
          <w:rFonts w:hint="eastAsia" w:asciiTheme="minorEastAsia" w:hAnsiTheme="minorEastAsia" w:eastAsiaTheme="minorEastAsia" w:cstheme="minorEastAsia"/>
          <w:color w:val="auto"/>
          <w:sz w:val="24"/>
          <w:highlight w:val="none"/>
        </w:rPr>
        <w:t>CEMS运维单位应根据CEMS使用说明书和相关标准的要求编制仪器运行管理规程，确定系统运行操作人员和管理维护人员的工作职责，并派遣</w:t>
      </w:r>
      <w:r>
        <w:rPr>
          <w:rFonts w:hint="eastAsia" w:ascii="宋体" w:hAnsi="宋体" w:eastAsia="宋体" w:cs="宋体"/>
          <w:color w:val="auto"/>
          <w:sz w:val="24"/>
          <w:highlight w:val="none"/>
        </w:rPr>
        <w:t>专业人员进行</w:t>
      </w:r>
      <w:r>
        <w:rPr>
          <w:rFonts w:hint="eastAsia" w:ascii="宋体" w:hAnsi="宋体" w:eastAsia="宋体" w:cs="宋体"/>
          <w:color w:val="auto"/>
          <w:sz w:val="24"/>
          <w:highlight w:val="none"/>
          <w:lang w:val="en-US" w:eastAsia="zh-CN"/>
        </w:rPr>
        <w:t>驻场</w:t>
      </w:r>
      <w:r>
        <w:rPr>
          <w:rFonts w:hint="eastAsia" w:ascii="宋体" w:hAnsi="宋体" w:eastAsia="宋体" w:cs="宋体"/>
          <w:color w:val="auto"/>
          <w:sz w:val="24"/>
          <w:highlight w:val="none"/>
        </w:rPr>
        <w:t>运维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人数不少于1人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驻场要求时间为工作日8时至16时，非工作时间如遇数据异常或设备仪器出现故障，需在15分钟内到达现场，1日内检查修复完毕</w:t>
      </w:r>
      <w:r>
        <w:rPr>
          <w:rFonts w:hint="eastAsia" w:ascii="宋体" w:hAnsi="宋体" w:eastAsia="宋体" w:cs="宋体"/>
          <w:color w:val="auto"/>
          <w:sz w:val="24"/>
          <w:highlight w:val="none"/>
        </w:rPr>
        <w:t>。</w:t>
      </w:r>
      <w:r>
        <w:rPr>
          <w:rFonts w:hint="eastAsia" w:asciiTheme="minorEastAsia" w:hAnsiTheme="minorEastAsia" w:eastAsiaTheme="minorEastAsia" w:cstheme="minorEastAsia"/>
          <w:color w:val="auto"/>
          <w:sz w:val="24"/>
          <w:highlight w:val="none"/>
        </w:rPr>
        <w:t>运维人员</w:t>
      </w:r>
      <w:r>
        <w:rPr>
          <w:rFonts w:hint="eastAsia" w:asciiTheme="minorEastAsia" w:hAnsiTheme="minorEastAsia" w:eastAsiaTheme="minorEastAsia" w:cstheme="minorEastAsia"/>
          <w:color w:val="auto"/>
          <w:sz w:val="24"/>
          <w:highlight w:val="none"/>
          <w:lang w:val="en-US" w:eastAsia="zh-CN"/>
        </w:rPr>
        <w:t>需持有自动监控（烟尘烟气）运行工证书，且与投标单位依法签订劳动合同，投标单位应依法为其缴纳社会保险，需提供对应运维人员至少6个月的社保证明，且</w:t>
      </w:r>
      <w:r>
        <w:rPr>
          <w:rFonts w:hint="eastAsia" w:ascii="宋体" w:hAnsi="宋体" w:eastAsia="宋体" w:cs="宋体"/>
          <w:color w:val="auto"/>
          <w:sz w:val="24"/>
          <w:highlight w:val="none"/>
        </w:rPr>
        <w:t>应当熟练掌握烟气排放连续监测仪器设备的原理，使用和运维方法。CEMS日常运行管理应包括但不限于以下方面：</w:t>
      </w:r>
    </w:p>
    <w:p w14:paraId="04B37813">
      <w:pPr>
        <w:widowControl/>
        <w:ind w:firstLine="464"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（1）日常巡检</w:t>
      </w:r>
    </w:p>
    <w:p w14:paraId="741223A0">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EMS运维单位应根据标准和仪器使用说明中的相关要求制订巡检规程，并严格按照规程开展日常巡检工作并做好记录。日常巡检记录应包括检查项目、检查日期、被检项目的运行状态等内容，每次巡检应记录并归档。CEMS日常巡检应每天进行。</w:t>
      </w:r>
    </w:p>
    <w:p w14:paraId="76EDB033">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（2）日常维护保养</w:t>
      </w:r>
    </w:p>
    <w:p w14:paraId="178D9721">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根据CEMS说明书的要求对CEMS系统保养内容、保养周期或耗材更换周期等做出明确规定，每次保养情况应记录并归档。每次进行备件或材料更换时，更换的备件或材料的品名、规格、数量等应记录并归档。如更换有证标准物质或标准样品，还需记录新标准物质或标准样品的来源、有效期和浓度等信息。对日常巡检或维护保养中发现的故障或问题，系统管理维护人员应及时处理并记录。</w:t>
      </w:r>
    </w:p>
    <w:p w14:paraId="2DEB978B">
      <w:pPr>
        <w:widowControl/>
        <w:ind w:firstLine="464"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（3）CEMS 的校准和校验</w:t>
      </w:r>
    </w:p>
    <w:p w14:paraId="42217F12">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应根据相关标准中规定的方法和质量保证规定的周期制订CEMS系统的日常准和校验操作规程。校准和校验记录应及时归档。</w:t>
      </w:r>
    </w:p>
    <w:p w14:paraId="1A14ABA2">
      <w:pPr>
        <w:widowControl/>
        <w:ind w:firstLine="464"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（4）常见故障分析及排除</w:t>
      </w:r>
    </w:p>
    <w:p w14:paraId="26093461">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当CEMS发生故障时，系统管理维护人员应及时处理并记录。维修处理过程中，要注意以下几点：</w:t>
      </w:r>
    </w:p>
    <w:p w14:paraId="4A2B2E80">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1、需要停用、拆除或者更换的，应当事先报经招标单位及环境主管部门批准。</w:t>
      </w:r>
    </w:p>
    <w:p w14:paraId="75A3C65A">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2、运行单位发现故障或接到故障通知，应立即赶到现场进行处理。</w:t>
      </w:r>
    </w:p>
    <w:p w14:paraId="26FD7371">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3、对于一些容易诊断的故障，如电磁阀控制失灵、膜裂损、气路堵塞、数据采集仪死机等，带工具或者备件到现场进行针对性维修，此类故障维修时间不应超过 8h。</w:t>
      </w:r>
    </w:p>
    <w:p w14:paraId="64427C8E">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4、仪器经过维修后，在正常使用和运行之前应确保维修内容全部完成，性能通过检测程序，按标准对仪器进行校准检查。若监测仪器进行了更换，在正常使用和运行之前应对系统进行重新调试和验收。</w:t>
      </w:r>
    </w:p>
    <w:p w14:paraId="65B150DD">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5、若数据存储控制仪发生故障，应在12H内修复或更换，并保证已采集的数据不丢失。</w:t>
      </w:r>
    </w:p>
    <w:p w14:paraId="5E782319">
      <w:pPr>
        <w:widowControl/>
        <w:ind w:firstLine="406" w:firstLineChars="175"/>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6、监测设备因故障不能正常采集、传输数据时，应及时向主管部门报告，对缺失数据进行处理。</w:t>
      </w:r>
    </w:p>
    <w:p w14:paraId="41E756BD">
      <w:pPr>
        <w:widowControl/>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三、服务期限、地点</w:t>
      </w:r>
    </w:p>
    <w:p w14:paraId="62F776A3">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服务期限：合同签订之日下一个自然月起1年</w:t>
      </w:r>
    </w:p>
    <w:p w14:paraId="4A8F2D39">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址：位于杭州市拱墅区临半路138-1号。</w:t>
      </w:r>
    </w:p>
    <w:p w14:paraId="71C6ADA9">
      <w:pPr>
        <w:widowControl/>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四、验收：</w:t>
      </w:r>
    </w:p>
    <w:p w14:paraId="6E0110F2">
      <w:pPr>
        <w:widowControl/>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按季验收。系统（设备）每季度通过具备CMA认证的第三方检测机构比对检测，取得合格检测报告后，视为验收合格。（注：因在线监测系统（设备）原因或运维不当，导致受到环保部门处罚，视为验收不合格）（检测、校准费用由乙方负责）</w:t>
      </w:r>
    </w:p>
    <w:p w14:paraId="39F40B20">
      <w:pPr>
        <w:widowControl/>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六、支付方式</w:t>
      </w:r>
    </w:p>
    <w:p w14:paraId="625BA42A">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1.运维费用按季度支付，于每季度运维周期结束，系统（设备）运维验收合格后10日内支付。（验收不合格该季度运维费用不予支付）</w:t>
      </w:r>
    </w:p>
    <w:p w14:paraId="70B5BB6B">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2.如季度运维周期内，有若干设备运维周期不满一个季度的，按实际运维周期结算，精确到月（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元/套/月），不足月按照一月计算。</w:t>
      </w:r>
    </w:p>
    <w:p w14:paraId="06E3E1C0">
      <w:pPr>
        <w:widowControl/>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七、违约责任</w:t>
      </w:r>
    </w:p>
    <w:p w14:paraId="6F582930">
      <w:pPr>
        <w:widowControl/>
        <w:numPr>
          <w:ilvl w:val="0"/>
          <w:numId w:val="8"/>
        </w:numPr>
        <w:ind w:left="0" w:firstLine="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逾期提供服务的，每日向甲方支付合同总款暂定价的0.2%作为违约金；乙方超过约定日期15个工作日仍不能提供服务的，则甲方有权解除合同，没收乙方的履约保证金，并保留追究乙方由此造成甲方经济损失的权利。</w:t>
      </w:r>
    </w:p>
    <w:p w14:paraId="2430F73F">
      <w:pPr>
        <w:widowControl/>
        <w:numPr>
          <w:ilvl w:val="0"/>
          <w:numId w:val="8"/>
        </w:numPr>
        <w:ind w:left="0" w:firstLine="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果因乙方运维系统（设备）原因甲方无法通过环保部门的监测并受到处罚的，乙方应及时整改并赔偿由此给甲方造成的损失（赔偿金额以本年合同约定的年度运维费用的30%为限）；如果因乙方运维不善造成维修，影响甲方发电机组运行的，则向甲方承担10000元/台次的违约金</w:t>
      </w:r>
    </w:p>
    <w:p w14:paraId="0589F971">
      <w:pPr>
        <w:widowControl/>
        <w:numPr>
          <w:ilvl w:val="0"/>
          <w:numId w:val="8"/>
        </w:numPr>
        <w:ind w:left="0" w:firstLine="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所供服务必须符合环保标准，因违反环保规范造成相关处罚或整改的，责任由乙方自行承担并按要求整改；乙方拒不整改或经整改仍无法达到环保规范的，甲方有权解除合同，没收乙方的履约保证金或运维金，并保留追究乙方由此造成甲方经济损失的权利。</w:t>
      </w:r>
    </w:p>
    <w:p w14:paraId="19331774">
      <w:pPr>
        <w:widowControl/>
        <w:numPr>
          <w:ilvl w:val="0"/>
          <w:numId w:val="8"/>
        </w:numPr>
        <w:ind w:left="0" w:firstLine="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乙方所提供的运维服务相关资料必须真实可靠，如有弄虚作假情况，甲方有权解除合同，没收乙方的履约保证金，并保留追究乙方由此造成甲方经济损失的权利。 </w:t>
      </w:r>
    </w:p>
    <w:p w14:paraId="581787D8">
      <w:pPr>
        <w:widowControl/>
        <w:numPr>
          <w:ilvl w:val="0"/>
          <w:numId w:val="8"/>
        </w:numPr>
        <w:ind w:left="0" w:firstLine="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在服务期内，乙方不得转让合同义务；否则，甲方有权解除合同，没收乙方的履约保证金，并保留追究乙方由此造成甲方经济损失的权利。</w:t>
      </w:r>
    </w:p>
    <w:p w14:paraId="19C346FB">
      <w:pPr>
        <w:widowControl/>
        <w:numPr>
          <w:ilvl w:val="0"/>
          <w:numId w:val="8"/>
        </w:numPr>
        <w:ind w:left="0" w:firstLine="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乙方应充分考虑发动机的运行工况及其变化，乙方不得以发动机工况变化为由拒绝履行合同；否则，甲方有权解除合同，没收乙方的履约保证金，并保留追究乙方由此造成甲方经济损失的权利。</w:t>
      </w:r>
    </w:p>
    <w:p w14:paraId="7386D908">
      <w:pPr>
        <w:widowControl/>
        <w:numPr>
          <w:ilvl w:val="0"/>
          <w:numId w:val="8"/>
        </w:numPr>
        <w:ind w:left="0" w:firstLine="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若乙方运行维护影响甲方生产工艺，或因行业要求发生变化、或监管部门要求等其他外界因素不允许乙方运行维护的，双方协商终止合同。</w:t>
      </w:r>
    </w:p>
    <w:p w14:paraId="1740FD8C">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七、履约保证金</w:t>
      </w:r>
    </w:p>
    <w:p w14:paraId="334B9E3B">
      <w:pPr>
        <w:widowControl/>
        <w:ind w:firstLine="464"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本合同签订后5个工作日内乙方需向甲方缴纳履约保证金（合同总价的5%）。待本次合同履行完毕后，乙方售后服务良好，无质量和服务问题，甲方原额（无息）归还履约保证金。</w:t>
      </w:r>
    </w:p>
    <w:p w14:paraId="77020403">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八、争议的解决方法</w:t>
      </w:r>
    </w:p>
    <w:p w14:paraId="2360EB57">
      <w:pPr>
        <w:widowControl/>
        <w:ind w:firstLine="464"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在合同履行过程中发生争议，双方应当协商解决，如协商不成，可向甲方住所地法院起诉。</w:t>
      </w:r>
    </w:p>
    <w:p w14:paraId="58313302">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九、其他</w:t>
      </w:r>
    </w:p>
    <w:p w14:paraId="727EBBB9">
      <w:pPr>
        <w:widowControl/>
        <w:numPr>
          <w:ilvl w:val="0"/>
          <w:numId w:val="9"/>
        </w:numPr>
        <w:ind w:left="0" w:firstLine="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安全责任：乙方进场前需与甲方签订安全协议，因乙方原因在运维过程中发生的安全事故及环境影响事件，经济和安全责任由乙方全权负责。</w:t>
      </w:r>
    </w:p>
    <w:p w14:paraId="02F4ACE9">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 合同履行期内甲乙双方均不得随意变更或解除合同。合同若有未尽事宜，需经双方共同协商，订立补充协议，补充协议与本合同有同等法律效力。</w:t>
      </w:r>
    </w:p>
    <w:p w14:paraId="7F9A0E21">
      <w:pPr>
        <w:widowControl/>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 本合同经甲乙双方法定代表人或其委托人签字盖章后生效。招标文件、投标文件及招标过程中有关澄清文件均为本合同的组成部分，与本合同具有同等效力。</w:t>
      </w:r>
    </w:p>
    <w:p w14:paraId="541CFDA1">
      <w:pPr>
        <w:autoSpaceDE w:val="0"/>
        <w:autoSpaceDN w:val="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4.本合同一式</w:t>
      </w:r>
      <w:r>
        <w:rPr>
          <w:rFonts w:hint="eastAsia" w:asciiTheme="minorEastAsia" w:hAnsiTheme="minorEastAsia" w:eastAsiaTheme="minorEastAsia" w:cstheme="minorEastAsia"/>
          <w:b/>
          <w:bCs/>
          <w:color w:val="auto"/>
          <w:sz w:val="24"/>
          <w:highlight w:val="none"/>
          <w:u w:val="single"/>
        </w:rPr>
        <w:t>陆</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b/>
          <w:bCs/>
          <w:color w:val="auto"/>
          <w:sz w:val="24"/>
          <w:highlight w:val="none"/>
          <w:u w:val="single"/>
        </w:rPr>
        <w:t>肆</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b/>
          <w:bCs/>
          <w:color w:val="auto"/>
          <w:sz w:val="24"/>
          <w:highlight w:val="none"/>
          <w:u w:val="single"/>
        </w:rPr>
        <w:t>贰</w:t>
      </w:r>
      <w:r>
        <w:rPr>
          <w:rFonts w:hint="eastAsia" w:asciiTheme="minorEastAsia" w:hAnsiTheme="minorEastAsia" w:eastAsiaTheme="minorEastAsia" w:cstheme="minorEastAsia"/>
          <w:color w:val="auto"/>
          <w:sz w:val="24"/>
          <w:highlight w:val="none"/>
        </w:rPr>
        <w:t>份。</w:t>
      </w:r>
    </w:p>
    <w:p w14:paraId="773ADAC8">
      <w:pPr>
        <w:autoSpaceDE w:val="0"/>
        <w:autoSpaceDN w:val="0"/>
        <w:textAlignment w:val="bottom"/>
        <w:rPr>
          <w:rFonts w:asciiTheme="minorEastAsia" w:hAnsiTheme="minorEastAsia" w:eastAsiaTheme="minorEastAsia" w:cstheme="minorEastAsia"/>
          <w:color w:val="auto"/>
          <w:sz w:val="24"/>
          <w:highlight w:val="none"/>
        </w:rPr>
      </w:pPr>
    </w:p>
    <w:p w14:paraId="27E82DEF">
      <w:pPr>
        <w:autoSpaceDE w:val="0"/>
        <w:autoSpaceDN w:val="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甲方（盖章）：                                    乙方（盖章）：</w:t>
      </w:r>
    </w:p>
    <w:p w14:paraId="1136E64B">
      <w:pPr>
        <w:autoSpaceDE w:val="0"/>
        <w:autoSpaceDN w:val="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杭州天子岭发电有限公司             </w:t>
      </w:r>
    </w:p>
    <w:p w14:paraId="022D9521">
      <w:pPr>
        <w:autoSpaceDE w:val="0"/>
        <w:autoSpaceDN w:val="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                                       法定代表人                </w:t>
      </w:r>
    </w:p>
    <w:p w14:paraId="29BECA36">
      <w:pPr>
        <w:autoSpaceDE w:val="0"/>
        <w:autoSpaceDN w:val="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或受委托人：                                     或受委托人</w:t>
      </w:r>
    </w:p>
    <w:p w14:paraId="17604E71">
      <w:pPr>
        <w:autoSpaceDE w:val="0"/>
        <w:autoSpaceDN w:val="0"/>
        <w:textAlignment w:val="bottom"/>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bookmarkStart w:id="110" w:name="_Toc101294498"/>
      <w:bookmarkStart w:id="111" w:name="_Toc101294428"/>
    </w:p>
    <w:p w14:paraId="64AE00D7">
      <w:pPr>
        <w:pStyle w:val="9"/>
        <w:ind w:firstLine="232"/>
        <w:rPr>
          <w:rFonts w:asciiTheme="minorEastAsia" w:hAnsiTheme="minorEastAsia" w:eastAsiaTheme="minorEastAsia" w:cstheme="minorEastAsia"/>
          <w:color w:val="auto"/>
          <w:sz w:val="24"/>
          <w:highlight w:val="none"/>
        </w:rPr>
      </w:pPr>
    </w:p>
    <w:p w14:paraId="0263365D">
      <w:pPr>
        <w:rPr>
          <w:rFonts w:asciiTheme="minorEastAsia" w:hAnsiTheme="minorEastAsia" w:eastAsiaTheme="minorEastAsia" w:cstheme="minorEastAsia"/>
          <w:color w:val="auto"/>
          <w:sz w:val="24"/>
          <w:highlight w:val="none"/>
        </w:rPr>
      </w:pPr>
    </w:p>
    <w:p w14:paraId="332943BC">
      <w:pPr>
        <w:pStyle w:val="9"/>
        <w:ind w:firstLine="232"/>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附件一：</w:t>
      </w:r>
    </w:p>
    <w:p w14:paraId="511854BF">
      <w:pPr>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安全生产协议书</w:t>
      </w:r>
    </w:p>
    <w:p w14:paraId="2D77FEE0">
      <w:pPr>
        <w:spacing w:line="440" w:lineRule="exact"/>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lang w:val="zh-CN"/>
        </w:rPr>
        <w:t>2025年污染源(废气)在线监测系统运维服务</w:t>
      </w:r>
    </w:p>
    <w:p w14:paraId="6F79A8E5">
      <w:pPr>
        <w:autoSpaceDE w:val="0"/>
        <w:autoSpaceDN w:val="0"/>
        <w:adjustRightInd w:val="0"/>
        <w:snapToGrid w:val="0"/>
        <w:spacing w:line="440" w:lineRule="exact"/>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甲方：</w:t>
      </w:r>
      <w:r>
        <w:rPr>
          <w:rFonts w:hint="eastAsia" w:asciiTheme="minorEastAsia" w:hAnsiTheme="minorEastAsia" w:eastAsiaTheme="minorEastAsia" w:cstheme="minorEastAsia"/>
          <w:color w:val="auto"/>
          <w:sz w:val="21"/>
          <w:szCs w:val="21"/>
          <w:highlight w:val="none"/>
          <w:u w:val="single"/>
        </w:rPr>
        <w:t>杭州天子岭发电有限公司</w:t>
      </w:r>
    </w:p>
    <w:p w14:paraId="29514B02">
      <w:pPr>
        <w:autoSpaceDE w:val="0"/>
        <w:autoSpaceDN w:val="0"/>
        <w:adjustRightInd w:val="0"/>
        <w:snapToGrid w:val="0"/>
        <w:spacing w:line="44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乙方：</w:t>
      </w:r>
      <w:r>
        <w:rPr>
          <w:rFonts w:hint="eastAsia" w:asciiTheme="minorEastAsia" w:hAnsiTheme="minorEastAsia" w:eastAsiaTheme="minorEastAsia" w:cstheme="minorEastAsia"/>
          <w:color w:val="auto"/>
          <w:sz w:val="21"/>
          <w:szCs w:val="21"/>
          <w:highlight w:val="none"/>
          <w:u w:val="single"/>
        </w:rPr>
        <w:t xml:space="preserve">                      </w:t>
      </w:r>
    </w:p>
    <w:p w14:paraId="2EB76245">
      <w:pPr>
        <w:spacing w:line="440" w:lineRule="exact"/>
        <w:ind w:firstLine="505" w:firstLineChars="25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为加强</w:t>
      </w:r>
      <w:r>
        <w:rPr>
          <w:rFonts w:hint="eastAsia" w:asciiTheme="minorEastAsia" w:hAnsiTheme="minorEastAsia" w:eastAsiaTheme="minorEastAsia" w:cstheme="minorEastAsia"/>
          <w:color w:val="auto"/>
          <w:sz w:val="21"/>
          <w:szCs w:val="21"/>
          <w:highlight w:val="none"/>
          <w:u w:val="single"/>
          <w:lang w:val="zh-CN"/>
        </w:rPr>
        <w:t>2025年污染源(废气)在线监测系统运维服务</w:t>
      </w:r>
      <w:r>
        <w:rPr>
          <w:rFonts w:hint="eastAsia" w:asciiTheme="minorEastAsia" w:hAnsiTheme="minorEastAsia" w:eastAsiaTheme="minorEastAsia" w:cstheme="minorEastAsia"/>
          <w:color w:val="auto"/>
          <w:sz w:val="21"/>
          <w:szCs w:val="21"/>
          <w:highlight w:val="none"/>
        </w:rPr>
        <w:t>现场的安全生产、文明管理工作，根据《安全生产法》、市政府加强文明管理等有关法律、法规，结合我公司实际情况，</w:t>
      </w:r>
      <w:r>
        <w:rPr>
          <w:rFonts w:hint="eastAsia" w:asciiTheme="minorEastAsia" w:hAnsiTheme="minorEastAsia" w:eastAsiaTheme="minorEastAsia" w:cstheme="minorEastAsia"/>
          <w:color w:val="auto"/>
          <w:sz w:val="21"/>
          <w:szCs w:val="21"/>
          <w:highlight w:val="none"/>
          <w:u w:val="single"/>
        </w:rPr>
        <w:t>杭州天子岭发电有限公司</w:t>
      </w:r>
      <w:r>
        <w:rPr>
          <w:rFonts w:hint="eastAsia" w:asciiTheme="minorEastAsia" w:hAnsiTheme="minorEastAsia" w:eastAsiaTheme="minorEastAsia" w:cstheme="minorEastAsia"/>
          <w:color w:val="auto"/>
          <w:sz w:val="21"/>
          <w:szCs w:val="21"/>
          <w:highlight w:val="none"/>
        </w:rPr>
        <w:t>特与乙方签订本协议书，具体条款如下：</w:t>
      </w:r>
    </w:p>
    <w:p w14:paraId="4C41C30A">
      <w:pPr>
        <w:spacing w:line="440" w:lineRule="exact"/>
        <w:ind w:firstLine="404" w:firstLineChars="20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一、甲方职责</w:t>
      </w:r>
    </w:p>
    <w:p w14:paraId="11E42589">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1.甲方为本项目指定专人负责具体的联系沟通工作。</w:t>
      </w:r>
    </w:p>
    <w:p w14:paraId="7880B682">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为做好现场安全管理，消除现场安全隐患，甲方有权对乙方安全责任区进行安全检查，对发现的“人的不安全行为”、“物的不安全状态”、“环境的不良因素”等各类隐患，甲方可以以书面或口头形式要求乙方及时整改。</w:t>
      </w:r>
    </w:p>
    <w:p w14:paraId="7CE68CD6">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但乙方必须知晓，甲方对乙方现场进行的安全检查并非本协议要求甲方必须履行的责任。</w:t>
      </w:r>
    </w:p>
    <w:p w14:paraId="33B5F86F">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3.甲方对本项目验收。</w:t>
      </w:r>
    </w:p>
    <w:p w14:paraId="67089C8E">
      <w:pPr>
        <w:spacing w:line="440" w:lineRule="exact"/>
        <w:ind w:firstLine="404" w:firstLineChars="200"/>
        <w:rPr>
          <w:rFonts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二、乙方职责</w:t>
      </w:r>
    </w:p>
    <w:p w14:paraId="506AD272">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1.建立健全本单位该项目的安全生产责任制度和安全生产管理制度，健全管理组织机构，落实本现场专职安全管理人员，如若发生伤亡事故时，由乙方承担责任。</w:t>
      </w:r>
    </w:p>
    <w:p w14:paraId="2D18379B">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2.乙方进场后必须及时到安全管理部门备案企业及人员的相应安全资料，同时必须服从甲方关于现场安全管理的各项规定，乙方不服从管理导致生产安全事故，由乙方承担责任。                                        </w:t>
      </w:r>
    </w:p>
    <w:p w14:paraId="151A0722">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3.乙方应遵守甲方相关的安全生产管理制度，在禁烟区内严禁吸烟以及擅自动用各类明火前，必须开动火证，监火人到位，并采取防护措施。</w:t>
      </w:r>
    </w:p>
    <w:p w14:paraId="22906451">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4.乙方在服务期间应严格按照用电规范要求，严禁私拉乱接电线，各类电器、照明设备必须使用防爆产品或设置防爆装置。</w:t>
      </w:r>
    </w:p>
    <w:p w14:paraId="18653D69">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乙方必须对进入现场的人员签订合法的劳动合同。同时，乙方进入现场，必须向甲方提供准确的驻场人员名册交甲方管理人员，服务过程中进行动态管理，如有临时调整人员必须及时书面通知甲方。乙方人员发生伤亡事故，若事故者未与乙方签订劳动合同，或事故者和名册不符合，不论甲乙双方或第三方原因造成的事故，均由乙方承担责任。</w:t>
      </w:r>
    </w:p>
    <w:p w14:paraId="7EF1B1A5">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6.乙方内部要建立安全生产检查制度、落实自查自检，按“定人、定时间、定措施”的隐患整改原则，消除服务过程、调试、运营现场不安全因素。</w:t>
      </w:r>
    </w:p>
    <w:p w14:paraId="1938F23E">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7.乙方负责按照相关法规要求，在每位员工入场前，做好本单位的公司级、项目级、班组级’“三级安全教育”及其他各类教育。</w:t>
      </w:r>
    </w:p>
    <w:p w14:paraId="38B1EC32">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8.严格按照合同进行服务，保质保量按时完成服务。</w:t>
      </w:r>
    </w:p>
    <w:p w14:paraId="1CBF126F">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9.安全、规范、文明、科学服务，不损坏甲方的地上地下各类设施，确保地段地下管线的安全、畅通、齐全。</w:t>
      </w:r>
    </w:p>
    <w:p w14:paraId="6932DEC0">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10.严格按照要求进行规范运营，不得出现违规操作等现象。</w:t>
      </w:r>
    </w:p>
    <w:p w14:paraId="5F984EF4">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11.接受甲方的监督检查。</w:t>
      </w:r>
    </w:p>
    <w:p w14:paraId="7119D35C">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三、违约责任</w:t>
      </w:r>
    </w:p>
    <w:p w14:paraId="06CE5FC5">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1.在服务过程中，乙方必须做到安全生产和文明服务，并服从甲方管理人员的调度指挥，有下列行为的，乙方承担违约金1000-5000元/次：</w:t>
      </w:r>
    </w:p>
    <w:p w14:paraId="363CB90C">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不服从甲方指挥，强令冒险作业；</w:t>
      </w:r>
    </w:p>
    <w:p w14:paraId="5293C8D7">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2 \* GB3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未按要求参加甲方组织的各项安全检查、会议活动；</w:t>
      </w:r>
    </w:p>
    <w:p w14:paraId="0A8CC4E3">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③工作人员在禁烟区擅自动火、吸烟；</w:t>
      </w:r>
    </w:p>
    <w:p w14:paraId="5569F7B4">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④工作人员未穿戴劳动防护用品，或未做好文明服务，经劝说不听或不服从管理的；</w:t>
      </w:r>
    </w:p>
    <w:p w14:paraId="5D5099EB">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⑤安装、调试、运营过程跑、冒、滴、漏、抛、洒造成环境影响。</w:t>
      </w:r>
    </w:p>
    <w:p w14:paraId="782DAAED">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⑥乙方未履行现场安全检查中问题整改职责，经甲方书面警告的未完成限期整改的。</w:t>
      </w:r>
    </w:p>
    <w:p w14:paraId="0B034F25">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2.有下列行为的，乙方承担违约金5000元/次：</w:t>
      </w:r>
    </w:p>
    <w:p w14:paraId="18FFFA76">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1 \* GB3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①</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由于乙方原因造成甲方被主管单位、新闻媒体、12345公开电话投诉或其他上级有关部门书面警告等通报批评的；</w:t>
      </w:r>
    </w:p>
    <w:p w14:paraId="2F38474D">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 2 \* GB3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乙方未履行职责，经甲方三次书面警告的，进行停工整顿的，每次停工整顿。</w:t>
      </w:r>
    </w:p>
    <w:p w14:paraId="1D1424EC">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3.乙方存在特殊工种无证上岗、消防器材配置缺损已提醒二十四小时无改进措施、现场安全员脱岗等现象，乙方承担违约金2000元/人·次。</w:t>
      </w:r>
    </w:p>
    <w:p w14:paraId="28D9444F">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4.乙方发生的安全事故以及造成的人员或财产损失由乙方全额负责。</w:t>
      </w:r>
    </w:p>
    <w:p w14:paraId="321E449F">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5.发生紧急情况，乙方应及时向上级主管报告，同时向甲方公司相关领导或值班人员汇报。如发生人员伤亡应迅速抢救伤员，并在第一时间送就近医院。</w:t>
      </w:r>
    </w:p>
    <w:p w14:paraId="4E3B4AE6">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6.其他违反甲方相关安全规章制度的现象，根据违规情况每次酌情扣乙方安全保证金200—1000元，</w:t>
      </w:r>
    </w:p>
    <w:p w14:paraId="53B529CD">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7.发生三次停工整顿的现象的，甲方有权更换服务单位。</w:t>
      </w:r>
    </w:p>
    <w:p w14:paraId="68118BEA">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8、具体处罚事项：</w:t>
      </w:r>
    </w:p>
    <w:p w14:paraId="0431862C">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（1）现场有抽烟情况，每人次处罚300元，现场未看到抽烟，但是服务场地上有烟蒂情况，每个烟蒂进行处罚50元。</w:t>
      </w:r>
    </w:p>
    <w:p w14:paraId="7AF50A9E">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（2）现场有打架斗殴现象，针对情况处罚500-2000元/次。</w:t>
      </w:r>
    </w:p>
    <w:p w14:paraId="25A537ED">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（3）现场接电违反规定、私拉乱接和电器设备、不合格未按规定使用等的处罚500元每次。</w:t>
      </w:r>
    </w:p>
    <w:p w14:paraId="4E5F418F">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（4）现场未按照规定进行配置合格的灭火器，检查后进行发通知单二日内整改，针对未整改的情况每次处罚500元。</w:t>
      </w:r>
    </w:p>
    <w:p w14:paraId="3762E936">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（5）针对现场服务人员穿拖鞋、未穿衣服进场作业的行为每人次处罚500元。</w:t>
      </w:r>
    </w:p>
    <w:p w14:paraId="6899836C">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（6）针对甲方职能部门下发的安全整改单，乙方未能在规定时间内进行整改到位和回复的情况，每次处罚1000~3000元。</w:t>
      </w:r>
    </w:p>
    <w:p w14:paraId="6453B906">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（7）针对安全和文明服务整改事项，乙方不能在规定时间内完成的，情况紧急时甲方可以直接委托第三方实施，相关费用按两倍价格由乙方承担。</w:t>
      </w:r>
    </w:p>
    <w:p w14:paraId="7AEDFF81">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（8）建设、调试、运营期，因质量、安全、环境污染事故等受质监、安全、行业与环保等政府职能部门处罚的，一切处罚由乙方负责（包括费用、受罚主体）。</w:t>
      </w:r>
    </w:p>
    <w:p w14:paraId="17700063">
      <w:pPr>
        <w:spacing w:line="440" w:lineRule="exact"/>
        <w:ind w:firstLine="404"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9.本协议书一式</w:t>
      </w:r>
      <w:r>
        <w:rPr>
          <w:rFonts w:hint="eastAsia" w:asciiTheme="minorEastAsia" w:hAnsiTheme="minorEastAsia" w:eastAsiaTheme="minorEastAsia" w:cstheme="minorEastAsia"/>
          <w:color w:val="auto"/>
          <w:sz w:val="21"/>
          <w:szCs w:val="21"/>
          <w:highlight w:val="none"/>
          <w:u w:val="single"/>
        </w:rPr>
        <w:t>陆</w:t>
      </w:r>
      <w:r>
        <w:rPr>
          <w:rFonts w:hint="eastAsia" w:asciiTheme="minorEastAsia" w:hAnsiTheme="minorEastAsia" w:eastAsiaTheme="minorEastAsia" w:cstheme="minorEastAsia"/>
          <w:color w:val="auto"/>
          <w:sz w:val="21"/>
          <w:szCs w:val="21"/>
          <w:highlight w:val="none"/>
        </w:rPr>
        <w:t>份，甲方持</w:t>
      </w:r>
      <w:r>
        <w:rPr>
          <w:rFonts w:hint="eastAsia" w:asciiTheme="minorEastAsia" w:hAnsiTheme="minorEastAsia" w:eastAsiaTheme="minorEastAsia" w:cstheme="minorEastAsia"/>
          <w:color w:val="auto"/>
          <w:sz w:val="21"/>
          <w:szCs w:val="21"/>
          <w:highlight w:val="none"/>
          <w:u w:val="single"/>
        </w:rPr>
        <w:t>肆</w:t>
      </w:r>
      <w:r>
        <w:rPr>
          <w:rFonts w:hint="eastAsia" w:asciiTheme="minorEastAsia" w:hAnsiTheme="minorEastAsia" w:eastAsiaTheme="minorEastAsia" w:cstheme="minorEastAsia"/>
          <w:color w:val="auto"/>
          <w:sz w:val="21"/>
          <w:szCs w:val="21"/>
          <w:highlight w:val="none"/>
        </w:rPr>
        <w:t>份，乙方执</w:t>
      </w:r>
      <w:r>
        <w:rPr>
          <w:rFonts w:hint="eastAsia" w:asciiTheme="minorEastAsia" w:hAnsiTheme="minorEastAsia" w:eastAsiaTheme="minorEastAsia" w:cstheme="minorEastAsia"/>
          <w:color w:val="auto"/>
          <w:sz w:val="21"/>
          <w:szCs w:val="21"/>
          <w:highlight w:val="none"/>
          <w:u w:val="single"/>
        </w:rPr>
        <w:t>贰</w:t>
      </w:r>
      <w:r>
        <w:rPr>
          <w:rFonts w:hint="eastAsia" w:asciiTheme="minorEastAsia" w:hAnsiTheme="minorEastAsia" w:eastAsiaTheme="minorEastAsia" w:cstheme="minorEastAsia"/>
          <w:color w:val="auto"/>
          <w:sz w:val="21"/>
          <w:szCs w:val="21"/>
          <w:highlight w:val="none"/>
        </w:rPr>
        <w:t>份。</w:t>
      </w:r>
    </w:p>
    <w:p w14:paraId="3ECB87A5">
      <w:pPr>
        <w:spacing w:line="440" w:lineRule="exact"/>
        <w:ind w:firstLine="435"/>
        <w:rPr>
          <w:rFonts w:asciiTheme="minorEastAsia" w:hAnsiTheme="minorEastAsia" w:eastAsiaTheme="minorEastAsia" w:cstheme="minorEastAsia"/>
          <w:color w:val="auto"/>
          <w:sz w:val="21"/>
          <w:szCs w:val="21"/>
          <w:highlight w:val="none"/>
        </w:rPr>
      </w:pPr>
    </w:p>
    <w:p w14:paraId="211F88D4">
      <w:pPr>
        <w:spacing w:line="440" w:lineRule="exact"/>
        <w:ind w:firstLine="43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甲方单位：杭州天子岭发电有限公司         乙方单位：</w:t>
      </w:r>
      <w:r>
        <w:rPr>
          <w:rFonts w:hint="eastAsia" w:asciiTheme="minorEastAsia" w:hAnsiTheme="minorEastAsia" w:eastAsiaTheme="minorEastAsia" w:cstheme="minorEastAsia"/>
          <w:color w:val="auto"/>
          <w:sz w:val="21"/>
          <w:szCs w:val="21"/>
          <w:highlight w:val="none"/>
          <w:u w:val="single"/>
        </w:rPr>
        <w:t xml:space="preserve">                           </w:t>
      </w:r>
    </w:p>
    <w:p w14:paraId="51D0F638">
      <w:pPr>
        <w:pStyle w:val="9"/>
        <w:ind w:firstLine="404"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甲方代表：                                乙方代表：</w:t>
      </w:r>
    </w:p>
    <w:p w14:paraId="5882ADF1">
      <w:pPr>
        <w:pStyle w:val="9"/>
        <w:ind w:firstLine="232"/>
        <w:rPr>
          <w:rFonts w:asciiTheme="minorEastAsia" w:hAnsiTheme="minorEastAsia" w:eastAsiaTheme="minorEastAsia" w:cstheme="minorEastAsia"/>
          <w:color w:val="auto"/>
          <w:sz w:val="24"/>
          <w:highlight w:val="none"/>
        </w:rPr>
      </w:pPr>
    </w:p>
    <w:p w14:paraId="2857CA19">
      <w:pPr>
        <w:pStyle w:val="9"/>
        <w:ind w:firstLine="232"/>
        <w:rPr>
          <w:rFonts w:asciiTheme="minorEastAsia" w:hAnsiTheme="minorEastAsia" w:eastAsiaTheme="minorEastAsia" w:cstheme="minorEastAsia"/>
          <w:color w:val="auto"/>
          <w:sz w:val="24"/>
          <w:highlight w:val="none"/>
        </w:rPr>
      </w:pPr>
    </w:p>
    <w:p w14:paraId="4AF0E8DD">
      <w:pPr>
        <w:pStyle w:val="9"/>
        <w:ind w:firstLine="232"/>
        <w:rPr>
          <w:rFonts w:asciiTheme="minorEastAsia" w:hAnsiTheme="minorEastAsia" w:eastAsiaTheme="minorEastAsia" w:cstheme="minorEastAsia"/>
          <w:color w:val="auto"/>
          <w:sz w:val="24"/>
          <w:highlight w:val="none"/>
        </w:rPr>
      </w:pPr>
    </w:p>
    <w:p w14:paraId="17224094">
      <w:pPr>
        <w:pStyle w:val="9"/>
        <w:ind w:firstLine="232"/>
        <w:rPr>
          <w:rFonts w:asciiTheme="minorEastAsia" w:hAnsiTheme="minorEastAsia" w:eastAsiaTheme="minorEastAsia" w:cstheme="minorEastAsia"/>
          <w:color w:val="auto"/>
          <w:sz w:val="24"/>
          <w:highlight w:val="none"/>
        </w:rPr>
      </w:pPr>
    </w:p>
    <w:p w14:paraId="18141C86">
      <w:pPr>
        <w:pStyle w:val="9"/>
        <w:ind w:firstLine="232"/>
        <w:rPr>
          <w:rFonts w:asciiTheme="minorEastAsia" w:hAnsiTheme="minorEastAsia" w:eastAsiaTheme="minorEastAsia" w:cstheme="minorEastAsia"/>
          <w:color w:val="auto"/>
          <w:sz w:val="24"/>
          <w:highlight w:val="none"/>
        </w:rPr>
      </w:pPr>
    </w:p>
    <w:p w14:paraId="56970157">
      <w:pPr>
        <w:pStyle w:val="9"/>
        <w:ind w:firstLine="0" w:firstLineChar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附件二、</w:t>
      </w:r>
    </w:p>
    <w:p w14:paraId="7A1B5D70">
      <w:pPr>
        <w:widowControl/>
        <w:jc w:val="center"/>
        <w:rPr>
          <w:rFonts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廉 政 协 议</w:t>
      </w:r>
    </w:p>
    <w:p w14:paraId="06DC950A">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w:t>
      </w:r>
    </w:p>
    <w:p w14:paraId="574E6424">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w:t>
      </w:r>
    </w:p>
    <w:p w14:paraId="7564AC2A">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为加强廉政建设，规范双方的各项活动，防止发生各种谋取不正当利益的违法违纪行为，保护国家、集体和当事人的合法权益，根据国家有关法律法规和廉政建设责任制度规定，特签订本廉政协议。</w:t>
      </w:r>
    </w:p>
    <w:p w14:paraId="322DC776">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第一条甲、乙双方约定</w:t>
      </w:r>
    </w:p>
    <w:p w14:paraId="2149CB9E">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（一）甲、乙双方应共同严格遵守国家和省市以及招标人主管部门关于市场准入、项目招标投标、市场经济活动等有关法律、法规和相关政策，以及项目廉政建设的各项规定。</w:t>
      </w:r>
    </w:p>
    <w:p w14:paraId="27152665">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（二）甲、乙双方应认真执行双方签订的合同文件，  自觉按合同约定履行责任。</w:t>
      </w:r>
    </w:p>
    <w:p w14:paraId="716EBACB">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（三）甲、乙双方的业务活动必须坚持公开、公平、公正、诚信、透明的原则（除法律法规另有规定者外）。不得为获取不正当的利益，损害国家、集体和对方利益；不得违反管理相关规章制度。</w:t>
      </w:r>
    </w:p>
    <w:p w14:paraId="4000F03D">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（四）甲、乙双方有对本方人员开展廉政告知、廉政教育和职业道德教育的义务。</w:t>
      </w:r>
    </w:p>
    <w:p w14:paraId="7F0D1C9D">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（五）甲、乙双方应加强对本方人员廉政监督，建立健全廉政制度，认真严肃查处本方人员违法违纪行为。</w:t>
      </w:r>
    </w:p>
    <w:p w14:paraId="350FA5AD">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（六）甲、乙双方如发现对方人员在业务活动中有违规、违纪、违法行为的，应及时提醒对方并督促其纠正，或直接向对方法人代表、纪检监察部门及检察机关如实反映情况。</w:t>
      </w:r>
    </w:p>
    <w:p w14:paraId="3453B464">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第二条甲方（含甲方人员）廉政责任</w:t>
      </w:r>
    </w:p>
    <w:p w14:paraId="0A3C324E">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（一）不得接受乙方或向乙方索取或以借用为名占用乙方的任何财物；不得接受乙方的礼金、</w:t>
      </w:r>
    </w:p>
    <w:p w14:paraId="426282DF">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礼品和各种有价证券、支付凭证及其他贵重物品；不得接受乙方的以任何名义支付的回扣、好处费、感谢费或其他经济利益。</w:t>
      </w:r>
    </w:p>
    <w:p w14:paraId="5843891D">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31F01127">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（三）不得利用职务便利向乙方介绍或指定分包单位（或个人）、物资供应商；不得利用职务便利向乙方推销或指定使用物资设备等。</w:t>
      </w:r>
    </w:p>
    <w:p w14:paraId="61CEC30F">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（四）不得接受乙方购置的或长期提供的通信工具、交通工具等。</w:t>
      </w:r>
    </w:p>
    <w:p w14:paraId="541DF1A3">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（五）对无法拒绝的乙方及其个人所送的钱物，受礼者自收受之日起一个月内上交至甲方监察审计部门。</w:t>
      </w:r>
    </w:p>
    <w:p w14:paraId="1BCBD63B">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（六）对乙方提供的有关信息，应及时调查处理并反馈结果。</w:t>
      </w:r>
    </w:p>
    <w:p w14:paraId="75E64B01">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第三条乙方（含乙方人员）廉政责任</w:t>
      </w:r>
    </w:p>
    <w:p w14:paraId="1ED860B3">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（一）不得以任何形式向甲方行贿；不得向甲方送礼金、礼品和各种有价证券、支付凭证及其他贵重物品；不得以任何名义向甲方及其工作人员支付回扣、好处费、感谢费或其他经济利益。</w:t>
      </w:r>
    </w:p>
    <w:p w14:paraId="6E0265E7">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6D0C3591">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（三）不得接受甲方介绍或指定的分包单位和物资供应商；不得接受甲方推销或指定使用的物资设备。</w:t>
      </w:r>
    </w:p>
    <w:p w14:paraId="086FF630">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（四）不得以任何理由为甲方及其工作人员购置或长期提供通信工具、交通工具等。</w:t>
      </w:r>
    </w:p>
    <w:p w14:paraId="4A444250">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（五）对甲方及其个人索要钱物、介绍或指定分包单位和物资供应商、推销或指定使用物资设备、借用占用车辆等行为予以拒绝，并及时主动向乙方上级纪检监察组织报告。</w:t>
      </w:r>
    </w:p>
    <w:p w14:paraId="37B0DDB7">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（六）对甲方提供的乙方（含乙方人员）违纪违规有关信息，应及时调查处理并反馈结果。</w:t>
      </w:r>
    </w:p>
    <w:p w14:paraId="1736897A">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（七）乙方不得以任何理由为甲方及其工作人员组织有可能影响公正执行公务的宴请和各类休闲娱乐等活动。</w:t>
      </w:r>
    </w:p>
    <w:p w14:paraId="2244D88D">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（八）乙方及其工作人员必须严格按照有关规程办事，不得与其他单位互相串通，损害甲方利益。第四条违约责任</w:t>
      </w:r>
    </w:p>
    <w:p w14:paraId="46345AC9">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甲乙双方不履行各自义务，构成犯罪和违纪的，由司法机关和有关纪检监察部门按管辖依法依纪处理，所认定的事实和处理结果作为承担下列约定违约责任的依据。</w:t>
      </w:r>
    </w:p>
    <w:p w14:paraId="618BA862">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45C7AFDD">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（二）乙方贿赂甲方人员的，被纪检监察部门或检察机关立案查处的，甲方有权中止项目合同，由此造成甲方的损失以及一切费用均由乙方承担。</w:t>
      </w:r>
    </w:p>
    <w:p w14:paraId="18B27938">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（三）甲方双方不履行协议约定义务的，应将责任人调离本项目并按规定予以处理，且双方有义务将有关责任人的责任追究情况通报对方。</w:t>
      </w:r>
    </w:p>
    <w:p w14:paraId="11E11B35">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03DD8D22">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（五）由于甲乙双方单位或工作人员个人行为造成违约的，双方承担上述违约责任。</w:t>
      </w:r>
    </w:p>
    <w:p w14:paraId="657C12C3">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（六）甲乙双方在履行协议中发生争议，一方有权向对方上级单位主管部门和纪检监察部门反映情况并要求帮助解决争议。</w:t>
      </w:r>
    </w:p>
    <w:p w14:paraId="63E8B2A2">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第五条本协议有效期为双方签署之日起至双方权利义务履行完毕为止。有效期内发生的违约事实，有效期后发现的适用本协议。</w:t>
      </w:r>
    </w:p>
    <w:p w14:paraId="7119CAFD">
      <w:pPr>
        <w:widowControl/>
        <w:jc w:val="left"/>
        <w:rPr>
          <w:rFonts w:asciiTheme="minorEastAsia" w:hAnsiTheme="minorEastAsia" w:eastAsiaTheme="minorEastAsia" w:cstheme="minorEastAsia"/>
          <w:color w:val="auto"/>
          <w:sz w:val="21"/>
          <w:szCs w:val="21"/>
          <w:highlight w:val="none"/>
        </w:rPr>
      </w:pPr>
    </w:p>
    <w:p w14:paraId="058D3976">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甲方（盖章）：</w:t>
      </w:r>
    </w:p>
    <w:p w14:paraId="15E20690">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法定代表人或受委托人（签字）：</w:t>
      </w:r>
    </w:p>
    <w:p w14:paraId="1B22799D">
      <w:pPr>
        <w:widowControl/>
        <w:jc w:val="left"/>
        <w:rPr>
          <w:rFonts w:asciiTheme="minorEastAsia" w:hAnsiTheme="minorEastAsia" w:eastAsiaTheme="minorEastAsia" w:cstheme="minorEastAsia"/>
          <w:color w:val="auto"/>
          <w:sz w:val="21"/>
          <w:szCs w:val="21"/>
          <w:highlight w:val="none"/>
        </w:rPr>
      </w:pPr>
    </w:p>
    <w:p w14:paraId="14A03176">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乙方（盖章）：</w:t>
      </w:r>
    </w:p>
    <w:p w14:paraId="609642E6">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法定代表人或受委托人（签字）：</w:t>
      </w:r>
    </w:p>
    <w:p w14:paraId="7F9152E2">
      <w:pPr>
        <w:widowControl/>
        <w:jc w:val="left"/>
        <w:rPr>
          <w:rFonts w:asciiTheme="minorEastAsia" w:hAnsiTheme="minorEastAsia" w:eastAsiaTheme="minorEastAsia" w:cstheme="minorEastAsia"/>
          <w:color w:val="auto"/>
          <w:sz w:val="21"/>
          <w:szCs w:val="21"/>
          <w:highlight w:val="none"/>
        </w:rPr>
      </w:pPr>
    </w:p>
    <w:p w14:paraId="0525A66F">
      <w:pPr>
        <w:widowControl/>
        <w:jc w:val="left"/>
        <w:rPr>
          <w:rFonts w:asciiTheme="minorEastAsia" w:hAnsiTheme="minorEastAsia" w:eastAsiaTheme="minorEastAsia" w:cstheme="minorEastAsia"/>
          <w:color w:val="auto"/>
          <w:sz w:val="21"/>
          <w:szCs w:val="21"/>
          <w:highlight w:val="none"/>
        </w:rPr>
      </w:pPr>
    </w:p>
    <w:p w14:paraId="106EAD65">
      <w:pPr>
        <w:widowControl/>
        <w:jc w:val="left"/>
        <w:rPr>
          <w:rFonts w:asciiTheme="minorEastAsia" w:hAnsiTheme="minorEastAsia" w:eastAsiaTheme="minorEastAsia" w:cstheme="minorEastAsia"/>
          <w:color w:val="auto"/>
          <w:sz w:val="21"/>
          <w:szCs w:val="21"/>
          <w:highlight w:val="none"/>
        </w:rPr>
      </w:pPr>
    </w:p>
    <w:p w14:paraId="00FEB098">
      <w:pPr>
        <w:widowControl/>
        <w:jc w:val="left"/>
        <w:rPr>
          <w:rFonts w:asciiTheme="minorEastAsia" w:hAnsiTheme="minorEastAsia" w:eastAsiaTheme="minorEastAsia" w:cstheme="minorEastAsia"/>
          <w:color w:val="auto"/>
          <w:sz w:val="21"/>
          <w:szCs w:val="21"/>
          <w:highlight w:val="none"/>
        </w:rPr>
      </w:pPr>
    </w:p>
    <w:p w14:paraId="45C973D6">
      <w:pPr>
        <w:widowControl/>
        <w:jc w:val="left"/>
        <w:rPr>
          <w:rFonts w:asciiTheme="minorEastAsia" w:hAnsiTheme="minorEastAsia" w:eastAsiaTheme="minorEastAsia" w:cstheme="minorEastAsia"/>
          <w:color w:val="auto"/>
          <w:sz w:val="21"/>
          <w:szCs w:val="21"/>
          <w:highlight w:val="none"/>
        </w:rPr>
      </w:pPr>
    </w:p>
    <w:p w14:paraId="5C6DB08F">
      <w:pPr>
        <w:widowControl/>
        <w:jc w:val="left"/>
        <w:rPr>
          <w:rFonts w:asciiTheme="minorEastAsia" w:hAnsiTheme="minorEastAsia" w:eastAsiaTheme="minorEastAsia" w:cstheme="minorEastAsia"/>
          <w:color w:val="auto"/>
          <w:sz w:val="21"/>
          <w:szCs w:val="21"/>
          <w:highlight w:val="none"/>
        </w:rPr>
      </w:pPr>
    </w:p>
    <w:p w14:paraId="771B3EC1">
      <w:pPr>
        <w:widowControl/>
        <w:jc w:val="left"/>
        <w:rPr>
          <w:rFonts w:asciiTheme="minorEastAsia" w:hAnsiTheme="minorEastAsia" w:eastAsiaTheme="minorEastAsia" w:cstheme="minorEastAsia"/>
          <w:color w:val="auto"/>
          <w:sz w:val="21"/>
          <w:szCs w:val="21"/>
          <w:highlight w:val="none"/>
        </w:rPr>
      </w:pPr>
    </w:p>
    <w:p w14:paraId="6B436606">
      <w:pPr>
        <w:widowControl/>
        <w:jc w:val="left"/>
        <w:rPr>
          <w:rFonts w:asciiTheme="minorEastAsia" w:hAnsiTheme="minorEastAsia" w:eastAsiaTheme="minorEastAsia" w:cstheme="minorEastAsia"/>
          <w:color w:val="auto"/>
          <w:sz w:val="21"/>
          <w:szCs w:val="21"/>
          <w:highlight w:val="none"/>
        </w:rPr>
      </w:pPr>
    </w:p>
    <w:p w14:paraId="13ADF463">
      <w:pPr>
        <w:widowControl/>
        <w:jc w:val="left"/>
        <w:rPr>
          <w:rFonts w:asciiTheme="minorEastAsia" w:hAnsiTheme="minorEastAsia" w:eastAsiaTheme="minorEastAsia" w:cstheme="minorEastAsia"/>
          <w:color w:val="auto"/>
          <w:sz w:val="21"/>
          <w:szCs w:val="21"/>
          <w:highlight w:val="none"/>
        </w:rPr>
      </w:pPr>
    </w:p>
    <w:p w14:paraId="1385255A">
      <w:pPr>
        <w:widowControl/>
        <w:jc w:val="left"/>
        <w:rPr>
          <w:rFonts w:asciiTheme="minorEastAsia" w:hAnsiTheme="minorEastAsia" w:eastAsiaTheme="minorEastAsia" w:cstheme="minorEastAsia"/>
          <w:color w:val="auto"/>
          <w:sz w:val="21"/>
          <w:szCs w:val="21"/>
          <w:highlight w:val="none"/>
        </w:rPr>
      </w:pPr>
    </w:p>
    <w:p w14:paraId="75F6A7B0">
      <w:pPr>
        <w:widowControl/>
        <w:jc w:val="left"/>
        <w:rPr>
          <w:rFonts w:asciiTheme="minorEastAsia" w:hAnsiTheme="minorEastAsia" w:eastAsiaTheme="minorEastAsia" w:cstheme="minorEastAsia"/>
          <w:color w:val="auto"/>
          <w:sz w:val="21"/>
          <w:szCs w:val="21"/>
          <w:highlight w:val="none"/>
        </w:rPr>
      </w:pPr>
    </w:p>
    <w:p w14:paraId="128BFB68">
      <w:pPr>
        <w:widowControl/>
        <w:jc w:val="left"/>
        <w:rPr>
          <w:rFonts w:asciiTheme="minorEastAsia" w:hAnsiTheme="minorEastAsia" w:eastAsiaTheme="minorEastAsia" w:cstheme="minorEastAsia"/>
          <w:color w:val="auto"/>
          <w:sz w:val="21"/>
          <w:szCs w:val="21"/>
          <w:highlight w:val="none"/>
        </w:rPr>
      </w:pPr>
    </w:p>
    <w:p w14:paraId="1F3890FC">
      <w:pPr>
        <w:widowControl/>
        <w:jc w:val="left"/>
        <w:rPr>
          <w:rFonts w:asciiTheme="minorEastAsia" w:hAnsiTheme="minorEastAsia" w:eastAsiaTheme="minorEastAsia" w:cstheme="minorEastAsia"/>
          <w:color w:val="auto"/>
          <w:sz w:val="21"/>
          <w:szCs w:val="21"/>
          <w:highlight w:val="none"/>
        </w:rPr>
      </w:pPr>
    </w:p>
    <w:p w14:paraId="581EE2F8">
      <w:pPr>
        <w:widowControl/>
        <w:jc w:val="left"/>
        <w:rPr>
          <w:rFonts w:asciiTheme="minorEastAsia" w:hAnsiTheme="minorEastAsia" w:eastAsiaTheme="minorEastAsia" w:cstheme="minorEastAsia"/>
          <w:color w:val="auto"/>
          <w:sz w:val="21"/>
          <w:szCs w:val="21"/>
          <w:highlight w:val="none"/>
        </w:rPr>
      </w:pPr>
    </w:p>
    <w:p w14:paraId="33F6329D">
      <w:pPr>
        <w:widowControl/>
        <w:jc w:val="left"/>
        <w:rPr>
          <w:rFonts w:asciiTheme="minorEastAsia" w:hAnsiTheme="minorEastAsia" w:eastAsiaTheme="minorEastAsia" w:cstheme="minorEastAsia"/>
          <w:color w:val="auto"/>
          <w:sz w:val="21"/>
          <w:szCs w:val="21"/>
          <w:highlight w:val="none"/>
        </w:rPr>
      </w:pPr>
    </w:p>
    <w:p w14:paraId="070087CE">
      <w:pPr>
        <w:widowControl/>
        <w:jc w:val="left"/>
        <w:rPr>
          <w:rFonts w:asciiTheme="minorEastAsia" w:hAnsiTheme="minorEastAsia" w:eastAsiaTheme="minorEastAsia" w:cstheme="minorEastAsia"/>
          <w:color w:val="auto"/>
          <w:sz w:val="21"/>
          <w:szCs w:val="21"/>
          <w:highlight w:val="none"/>
        </w:rPr>
      </w:pPr>
    </w:p>
    <w:p w14:paraId="3A66AA5A">
      <w:pPr>
        <w:widowControl/>
        <w:jc w:val="left"/>
        <w:rPr>
          <w:rFonts w:asciiTheme="minorEastAsia" w:hAnsiTheme="minorEastAsia" w:eastAsiaTheme="minorEastAsia" w:cstheme="minorEastAsia"/>
          <w:color w:val="auto"/>
          <w:sz w:val="21"/>
          <w:szCs w:val="21"/>
          <w:highlight w:val="none"/>
        </w:rPr>
      </w:pPr>
    </w:p>
    <w:p w14:paraId="0FA2013C">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附件三：</w:t>
      </w:r>
    </w:p>
    <w:p w14:paraId="551619A9">
      <w:pPr>
        <w:widowControl/>
        <w:jc w:val="center"/>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履约保证金确认书</w:t>
      </w:r>
    </w:p>
    <w:p w14:paraId="4BE35172">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履约保证金缴纳：</w:t>
      </w:r>
    </w:p>
    <w:p w14:paraId="6AB84F37">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1、缴纳信息：</w:t>
      </w:r>
    </w:p>
    <w:p w14:paraId="3BC3D1CA">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履约保证金金额：人民币整（  ¥元）</w:t>
      </w:r>
    </w:p>
    <w:p w14:paraId="6253FFEF">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履约保证金缴纳形式：支票/汇票/电汇/转账</w:t>
      </w:r>
    </w:p>
    <w:p w14:paraId="4B8E4D97">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履约保证金缴纳时间：中标通知书领取之后，合同签订之前</w:t>
      </w:r>
    </w:p>
    <w:p w14:paraId="2D43648F">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履约保证金接收人：杭州天子岭发电有限公司</w:t>
      </w:r>
    </w:p>
    <w:p w14:paraId="0D759F77">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履约保证金有效期限：在本项目合同到期或终止后15日内，双方不存在争议，在扣除需支付的违约金后，余额退还（无息）。</w:t>
      </w:r>
    </w:p>
    <w:p w14:paraId="74733FB7">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2、打款账户信息如下：</w:t>
      </w:r>
    </w:p>
    <w:p w14:paraId="0460451F">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收款单位（户名）：杭州天子岭发电有限公司</w:t>
      </w:r>
    </w:p>
    <w:p w14:paraId="7C4870A1">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账号：8110801012300788839</w:t>
      </w:r>
    </w:p>
    <w:p w14:paraId="0215BD70">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开户行：中信银行杭州分行              </w:t>
      </w:r>
    </w:p>
    <w:p w14:paraId="1711295D">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3、其他说明：</w:t>
      </w:r>
    </w:p>
    <w:p w14:paraId="086C86B2">
      <w:pPr>
        <w:widowControl/>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转账或汇票形式的，乙方在履约保证金缴纳时必须注明项目名称和招标项目编号。</w:t>
      </w:r>
    </w:p>
    <w:p w14:paraId="4677FDBB">
      <w:pPr>
        <w:widowControl/>
        <w:jc w:val="left"/>
        <w:rPr>
          <w:rFonts w:ascii="仿宋_GB2312" w:hAnsi="Courier New"/>
          <w:color w:val="auto"/>
          <w:sz w:val="21"/>
          <w:szCs w:val="21"/>
          <w:highlight w:val="none"/>
        </w:rPr>
      </w:pPr>
      <w:r>
        <w:rPr>
          <w:rFonts w:hint="eastAsia" w:asciiTheme="minorEastAsia" w:hAnsiTheme="minorEastAsia" w:eastAsiaTheme="minorEastAsia" w:cstheme="minorEastAsia"/>
          <w:color w:val="auto"/>
          <w:sz w:val="21"/>
          <w:szCs w:val="21"/>
          <w:highlight w:val="none"/>
        </w:rPr>
        <w:t>乙方应将履约保证金的汇款或转账凭证在合同签订前提交甲方。如超出期限未缴纳的，甲方将视其拒绝履行投标承诺，甲方有权单方取消其中标资格，并罚没其投标保证金。甲方还有权将其列入供应商不良行为记录名单，被列入名单后，取消其两年内在甲方及甲方分子公司及其他关联方组织的任何招标或采购中的供应商资格。</w:t>
      </w:r>
    </w:p>
    <w:p w14:paraId="044DC914">
      <w:pPr>
        <w:widowControl/>
        <w:jc w:val="left"/>
        <w:rPr>
          <w:rFonts w:ascii="仿宋_GB2312" w:hAnsi="Courier New"/>
          <w:color w:val="auto"/>
          <w:sz w:val="24"/>
          <w:highlight w:val="none"/>
        </w:rPr>
      </w:pPr>
    </w:p>
    <w:bookmarkEnd w:id="110"/>
    <w:bookmarkEnd w:id="111"/>
    <w:p w14:paraId="3727A516">
      <w:pPr>
        <w:widowControl/>
        <w:jc w:val="left"/>
        <w:rPr>
          <w:rFonts w:ascii="仿宋_GB2312" w:hAnsi="Courier New"/>
          <w:color w:val="auto"/>
          <w:sz w:val="24"/>
          <w:highlight w:val="none"/>
        </w:rPr>
      </w:pPr>
    </w:p>
    <w:sectPr>
      <w:headerReference r:id="rId9" w:type="default"/>
      <w:footerReference r:id="rId11" w:type="default"/>
      <w:headerReference r:id="rId10" w:type="even"/>
      <w:footerReference r:id="rId12" w:type="even"/>
      <w:pgSz w:w="11906" w:h="16838"/>
      <w:pgMar w:top="2098" w:right="1474" w:bottom="1985" w:left="1588" w:header="851" w:footer="737" w:gutter="0"/>
      <w:cols w:space="720"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昆仑楷体">
    <w:altName w:val="宋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D1AD">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AE92C">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2AE92C">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BDB0">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184F1E">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0184F1E">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1B99">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5086F">
                          <w:pPr>
                            <w:pStyle w:val="1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45086F">
                    <w:pPr>
                      <w:pStyle w:val="1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8037">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14878">
                          <w:pPr>
                            <w:pStyle w:val="1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4414878">
                    <w:pPr>
                      <w:pStyle w:val="1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CBC94">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06D7">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AFAF1">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5E4C0">
    <w:pPr>
      <w:pStyle w:val="18"/>
    </w:pPr>
    <w:r>
      <w:pict>
        <v:shape id="PowerPlusWaterMarkObject639917468" o:spid="_x0000_s1025" o:spt="136" type="#_x0000_t136" style="position:absolute;left:0pt;height:171.75pt;width:51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送审稿" style="font-family:等线;font-size:8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43C4C">
    <w:pPr>
      <w:pStyle w:val="1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EDF59">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37349"/>
    <w:multiLevelType w:val="singleLevel"/>
    <w:tmpl w:val="BCE37349"/>
    <w:lvl w:ilvl="0" w:tentative="0">
      <w:start w:val="1"/>
      <w:numFmt w:val="decimal"/>
      <w:suff w:val="nothing"/>
      <w:lvlText w:val="%1、"/>
      <w:lvlJc w:val="left"/>
    </w:lvl>
  </w:abstractNum>
  <w:abstractNum w:abstractNumId="1">
    <w:nsid w:val="CAF73F51"/>
    <w:multiLevelType w:val="singleLevel"/>
    <w:tmpl w:val="CAF73F51"/>
    <w:lvl w:ilvl="0" w:tentative="0">
      <w:start w:val="1"/>
      <w:numFmt w:val="decimal"/>
      <w:suff w:val="nothing"/>
      <w:lvlText w:val="（%1）"/>
      <w:lvlJc w:val="left"/>
    </w:lvl>
  </w:abstractNum>
  <w:abstractNum w:abstractNumId="2">
    <w:nsid w:val="F5D8789E"/>
    <w:multiLevelType w:val="singleLevel"/>
    <w:tmpl w:val="F5D8789E"/>
    <w:lvl w:ilvl="0" w:tentative="0">
      <w:start w:val="1"/>
      <w:numFmt w:val="decimal"/>
      <w:lvlText w:val="%1."/>
      <w:lvlJc w:val="left"/>
      <w:pPr>
        <w:tabs>
          <w:tab w:val="left" w:pos="312"/>
        </w:tabs>
      </w:pPr>
    </w:lvl>
  </w:abstractNum>
  <w:abstractNum w:abstractNumId="3">
    <w:nsid w:val="F64E92BF"/>
    <w:multiLevelType w:val="singleLevel"/>
    <w:tmpl w:val="F64E92BF"/>
    <w:lvl w:ilvl="0" w:tentative="0">
      <w:start w:val="3"/>
      <w:numFmt w:val="decimal"/>
      <w:suff w:val="nothing"/>
      <w:lvlText w:val="（%1）"/>
      <w:lvlJc w:val="left"/>
    </w:lvl>
  </w:abstractNum>
  <w:abstractNum w:abstractNumId="4">
    <w:nsid w:val="0FCA60EF"/>
    <w:multiLevelType w:val="multilevel"/>
    <w:tmpl w:val="0FCA60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100C0F"/>
    <w:multiLevelType w:val="multilevel"/>
    <w:tmpl w:val="21100C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01A66E7"/>
    <w:multiLevelType w:val="singleLevel"/>
    <w:tmpl w:val="401A66E7"/>
    <w:lvl w:ilvl="0" w:tentative="0">
      <w:start w:val="1"/>
      <w:numFmt w:val="chineseCounting"/>
      <w:suff w:val="nothing"/>
      <w:lvlText w:val="%1、"/>
      <w:lvlJc w:val="left"/>
      <w:rPr>
        <w:rFonts w:hint="eastAsia"/>
      </w:rPr>
    </w:lvl>
  </w:abstractNum>
  <w:abstractNum w:abstractNumId="7">
    <w:nsid w:val="456B0C3D"/>
    <w:multiLevelType w:val="singleLevel"/>
    <w:tmpl w:val="456B0C3D"/>
    <w:lvl w:ilvl="0" w:tentative="0">
      <w:start w:val="3"/>
      <w:numFmt w:val="chineseCounting"/>
      <w:suff w:val="space"/>
      <w:lvlText w:val="第%1章"/>
      <w:lvlJc w:val="left"/>
      <w:rPr>
        <w:rFonts w:hint="eastAsia"/>
      </w:rPr>
    </w:lvl>
  </w:abstractNum>
  <w:abstractNum w:abstractNumId="8">
    <w:nsid w:val="5B3A12A0"/>
    <w:multiLevelType w:val="multilevel"/>
    <w:tmpl w:val="5B3A12A0"/>
    <w:lvl w:ilvl="0" w:tentative="0">
      <w:start w:val="1"/>
      <w:numFmt w:val="decimal"/>
      <w:lvlText w:val="(%1)"/>
      <w:lvlJc w:val="left"/>
      <w:pPr>
        <w:tabs>
          <w:tab w:val="left" w:pos="-840"/>
        </w:tabs>
        <w:ind w:left="1050" w:hanging="420"/>
      </w:pPr>
      <w:rPr>
        <w:rFonts w:hint="default"/>
      </w:rPr>
    </w:lvl>
    <w:lvl w:ilvl="1" w:tentative="0">
      <w:start w:val="1"/>
      <w:numFmt w:val="decimal"/>
      <w:lvlText w:val="%2."/>
      <w:lvlJc w:val="left"/>
      <w:pPr>
        <w:tabs>
          <w:tab w:val="left" w:pos="-840"/>
        </w:tabs>
        <w:ind w:left="735" w:hanging="525"/>
      </w:pPr>
      <w:rPr>
        <w:rFonts w:hint="default"/>
      </w:rPr>
    </w:lvl>
    <w:lvl w:ilvl="2" w:tentative="0">
      <w:start w:val="1"/>
      <w:numFmt w:val="decimal"/>
      <w:lvlText w:val="%3)"/>
      <w:lvlJc w:val="left"/>
      <w:pPr>
        <w:tabs>
          <w:tab w:val="left" w:pos="-840"/>
        </w:tabs>
        <w:ind w:left="1050" w:hanging="420"/>
      </w:pPr>
      <w:rPr>
        <w:rFonts w:hint="default"/>
      </w:rPr>
    </w:lvl>
    <w:lvl w:ilvl="3" w:tentative="0">
      <w:start w:val="1"/>
      <w:numFmt w:val="decimal"/>
      <w:lvlText w:val="%4."/>
      <w:lvlJc w:val="left"/>
      <w:pPr>
        <w:tabs>
          <w:tab w:val="left" w:pos="-840"/>
        </w:tabs>
        <w:ind w:left="1470" w:hanging="420"/>
      </w:pPr>
    </w:lvl>
    <w:lvl w:ilvl="4" w:tentative="0">
      <w:start w:val="1"/>
      <w:numFmt w:val="lowerLetter"/>
      <w:lvlText w:val="%5)"/>
      <w:lvlJc w:val="left"/>
      <w:pPr>
        <w:tabs>
          <w:tab w:val="left" w:pos="-840"/>
        </w:tabs>
        <w:ind w:left="1890" w:hanging="420"/>
      </w:pPr>
    </w:lvl>
    <w:lvl w:ilvl="5" w:tentative="0">
      <w:start w:val="1"/>
      <w:numFmt w:val="lowerRoman"/>
      <w:lvlText w:val="%6."/>
      <w:lvlJc w:val="right"/>
      <w:pPr>
        <w:tabs>
          <w:tab w:val="left" w:pos="-840"/>
        </w:tabs>
        <w:ind w:left="2310" w:hanging="420"/>
      </w:pPr>
    </w:lvl>
    <w:lvl w:ilvl="6" w:tentative="0">
      <w:start w:val="1"/>
      <w:numFmt w:val="decimal"/>
      <w:lvlText w:val="%7."/>
      <w:lvlJc w:val="left"/>
      <w:pPr>
        <w:tabs>
          <w:tab w:val="left" w:pos="-840"/>
        </w:tabs>
        <w:ind w:left="2730" w:hanging="420"/>
      </w:pPr>
    </w:lvl>
    <w:lvl w:ilvl="7" w:tentative="0">
      <w:start w:val="1"/>
      <w:numFmt w:val="lowerLetter"/>
      <w:lvlText w:val="%8)"/>
      <w:lvlJc w:val="left"/>
      <w:pPr>
        <w:tabs>
          <w:tab w:val="left" w:pos="-840"/>
        </w:tabs>
        <w:ind w:left="3150" w:hanging="420"/>
      </w:pPr>
    </w:lvl>
    <w:lvl w:ilvl="8" w:tentative="0">
      <w:start w:val="1"/>
      <w:numFmt w:val="lowerRoman"/>
      <w:lvlText w:val="%9."/>
      <w:lvlJc w:val="right"/>
      <w:pPr>
        <w:tabs>
          <w:tab w:val="left" w:pos="-840"/>
        </w:tabs>
        <w:ind w:left="3570" w:hanging="420"/>
      </w:pPr>
    </w:lvl>
  </w:abstractNum>
  <w:num w:numId="1">
    <w:abstractNumId w:val="3"/>
  </w:num>
  <w:num w:numId="2">
    <w:abstractNumId w:val="1"/>
  </w:num>
  <w:num w:numId="3">
    <w:abstractNumId w:val="8"/>
  </w:num>
  <w:num w:numId="4">
    <w:abstractNumId w:val="7"/>
  </w:num>
  <w:num w:numId="5">
    <w:abstractNumId w:val="6"/>
  </w:num>
  <w:num w:numId="6">
    <w:abstractNumId w:val="2"/>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1"/>
  <w:evenAndOddHeaders w:val="1"/>
  <w:drawingGridHorizontalSpacing w:val="156"/>
  <w:drawingGridVerticalSpacing w:val="57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BF63BC"/>
    <w:rsid w:val="00026716"/>
    <w:rsid w:val="00072C1B"/>
    <w:rsid w:val="000F5FD6"/>
    <w:rsid w:val="0012728D"/>
    <w:rsid w:val="00156CAD"/>
    <w:rsid w:val="001C5666"/>
    <w:rsid w:val="002143A9"/>
    <w:rsid w:val="002369F3"/>
    <w:rsid w:val="002457D8"/>
    <w:rsid w:val="0024627A"/>
    <w:rsid w:val="00294D00"/>
    <w:rsid w:val="002A1F6A"/>
    <w:rsid w:val="002A3461"/>
    <w:rsid w:val="002F7EAD"/>
    <w:rsid w:val="00322A80"/>
    <w:rsid w:val="00323009"/>
    <w:rsid w:val="00346EEE"/>
    <w:rsid w:val="00380781"/>
    <w:rsid w:val="00392EA2"/>
    <w:rsid w:val="003C0E87"/>
    <w:rsid w:val="003E52C4"/>
    <w:rsid w:val="003F5F2A"/>
    <w:rsid w:val="00473AA8"/>
    <w:rsid w:val="00486EBC"/>
    <w:rsid w:val="004875AF"/>
    <w:rsid w:val="0049353B"/>
    <w:rsid w:val="004F1AC5"/>
    <w:rsid w:val="00544363"/>
    <w:rsid w:val="00580F75"/>
    <w:rsid w:val="00594640"/>
    <w:rsid w:val="00651495"/>
    <w:rsid w:val="0066604A"/>
    <w:rsid w:val="00704578"/>
    <w:rsid w:val="00737473"/>
    <w:rsid w:val="007A17FD"/>
    <w:rsid w:val="007A66E4"/>
    <w:rsid w:val="008300B4"/>
    <w:rsid w:val="00862A72"/>
    <w:rsid w:val="0086344A"/>
    <w:rsid w:val="008A18D0"/>
    <w:rsid w:val="008C172E"/>
    <w:rsid w:val="00910A10"/>
    <w:rsid w:val="00957AD2"/>
    <w:rsid w:val="00962C69"/>
    <w:rsid w:val="00973FB8"/>
    <w:rsid w:val="00A42871"/>
    <w:rsid w:val="00A465AA"/>
    <w:rsid w:val="00A91512"/>
    <w:rsid w:val="00A91CE9"/>
    <w:rsid w:val="00A97848"/>
    <w:rsid w:val="00AE30B0"/>
    <w:rsid w:val="00AE34A7"/>
    <w:rsid w:val="00B77869"/>
    <w:rsid w:val="00BD6615"/>
    <w:rsid w:val="00BF63BC"/>
    <w:rsid w:val="00C07BCE"/>
    <w:rsid w:val="00C1328C"/>
    <w:rsid w:val="00C3520F"/>
    <w:rsid w:val="00C41AAF"/>
    <w:rsid w:val="00C92139"/>
    <w:rsid w:val="00D005A8"/>
    <w:rsid w:val="00D26D7C"/>
    <w:rsid w:val="00DC19CB"/>
    <w:rsid w:val="00DC239E"/>
    <w:rsid w:val="00DC4986"/>
    <w:rsid w:val="00DD0B8F"/>
    <w:rsid w:val="00DD4FDE"/>
    <w:rsid w:val="00DF477A"/>
    <w:rsid w:val="00E45C9B"/>
    <w:rsid w:val="00E65882"/>
    <w:rsid w:val="00E7089A"/>
    <w:rsid w:val="00EC5C1A"/>
    <w:rsid w:val="00F43C49"/>
    <w:rsid w:val="00F844E0"/>
    <w:rsid w:val="00F92C9A"/>
    <w:rsid w:val="00F97F58"/>
    <w:rsid w:val="01011432"/>
    <w:rsid w:val="010333FC"/>
    <w:rsid w:val="01133309"/>
    <w:rsid w:val="013C690E"/>
    <w:rsid w:val="01435207"/>
    <w:rsid w:val="014F219D"/>
    <w:rsid w:val="0151367A"/>
    <w:rsid w:val="015B3B47"/>
    <w:rsid w:val="01695955"/>
    <w:rsid w:val="0183453D"/>
    <w:rsid w:val="01AD38E7"/>
    <w:rsid w:val="01C25065"/>
    <w:rsid w:val="01F82728"/>
    <w:rsid w:val="023D293E"/>
    <w:rsid w:val="025942F4"/>
    <w:rsid w:val="029063B7"/>
    <w:rsid w:val="02924A37"/>
    <w:rsid w:val="02EE59E6"/>
    <w:rsid w:val="02F2197A"/>
    <w:rsid w:val="02F30994"/>
    <w:rsid w:val="03184FDD"/>
    <w:rsid w:val="03547FA2"/>
    <w:rsid w:val="035D6DC5"/>
    <w:rsid w:val="03973673"/>
    <w:rsid w:val="03DA48E8"/>
    <w:rsid w:val="03DB240E"/>
    <w:rsid w:val="03E5503B"/>
    <w:rsid w:val="04247911"/>
    <w:rsid w:val="044B7594"/>
    <w:rsid w:val="045A1585"/>
    <w:rsid w:val="04847E57"/>
    <w:rsid w:val="04B213C1"/>
    <w:rsid w:val="04BD7F36"/>
    <w:rsid w:val="057E74F5"/>
    <w:rsid w:val="05A21435"/>
    <w:rsid w:val="05AC22B4"/>
    <w:rsid w:val="05AE0A08"/>
    <w:rsid w:val="05C3315A"/>
    <w:rsid w:val="06007F0A"/>
    <w:rsid w:val="060F2843"/>
    <w:rsid w:val="062005AC"/>
    <w:rsid w:val="06532730"/>
    <w:rsid w:val="06565D7C"/>
    <w:rsid w:val="06615D22"/>
    <w:rsid w:val="06622973"/>
    <w:rsid w:val="06A95558"/>
    <w:rsid w:val="06DA69AD"/>
    <w:rsid w:val="06E67100"/>
    <w:rsid w:val="06E93094"/>
    <w:rsid w:val="074D717F"/>
    <w:rsid w:val="07500A1D"/>
    <w:rsid w:val="07737AF6"/>
    <w:rsid w:val="07990616"/>
    <w:rsid w:val="079E5C2C"/>
    <w:rsid w:val="07A86AAB"/>
    <w:rsid w:val="07B755EE"/>
    <w:rsid w:val="07BC2556"/>
    <w:rsid w:val="07C17B6D"/>
    <w:rsid w:val="07C5765D"/>
    <w:rsid w:val="07C75183"/>
    <w:rsid w:val="07CD6512"/>
    <w:rsid w:val="084C7436"/>
    <w:rsid w:val="084D31AF"/>
    <w:rsid w:val="086E1AA3"/>
    <w:rsid w:val="08971F79"/>
    <w:rsid w:val="08CA35E8"/>
    <w:rsid w:val="08CE2541"/>
    <w:rsid w:val="08F655F4"/>
    <w:rsid w:val="0902007F"/>
    <w:rsid w:val="091B4562"/>
    <w:rsid w:val="092108C3"/>
    <w:rsid w:val="093F343F"/>
    <w:rsid w:val="09414AC1"/>
    <w:rsid w:val="095B2A75"/>
    <w:rsid w:val="096B3734"/>
    <w:rsid w:val="09B434E5"/>
    <w:rsid w:val="09B5725D"/>
    <w:rsid w:val="09D973F0"/>
    <w:rsid w:val="09E11EC2"/>
    <w:rsid w:val="0A03446D"/>
    <w:rsid w:val="0A314B36"/>
    <w:rsid w:val="0A430D0D"/>
    <w:rsid w:val="0A4A139D"/>
    <w:rsid w:val="0A4C3DCA"/>
    <w:rsid w:val="0A530F50"/>
    <w:rsid w:val="0A621193"/>
    <w:rsid w:val="0A7B0DB9"/>
    <w:rsid w:val="0AF47ED3"/>
    <w:rsid w:val="0B420FC5"/>
    <w:rsid w:val="0B4D1E43"/>
    <w:rsid w:val="0B6B4077"/>
    <w:rsid w:val="0B957346"/>
    <w:rsid w:val="0BFF2A12"/>
    <w:rsid w:val="0C50326D"/>
    <w:rsid w:val="0C525774"/>
    <w:rsid w:val="0C605BA6"/>
    <w:rsid w:val="0C6D0CE9"/>
    <w:rsid w:val="0C801DA5"/>
    <w:rsid w:val="0CD45C4C"/>
    <w:rsid w:val="0CF167FE"/>
    <w:rsid w:val="0CF956B3"/>
    <w:rsid w:val="0D166265"/>
    <w:rsid w:val="0D240982"/>
    <w:rsid w:val="0D4D5F76"/>
    <w:rsid w:val="0D533015"/>
    <w:rsid w:val="0D782A7C"/>
    <w:rsid w:val="0D7D4536"/>
    <w:rsid w:val="0D8E6743"/>
    <w:rsid w:val="0DBF06AB"/>
    <w:rsid w:val="0DC47726"/>
    <w:rsid w:val="0DF932B5"/>
    <w:rsid w:val="0E305AE1"/>
    <w:rsid w:val="0E3133BA"/>
    <w:rsid w:val="0E35096D"/>
    <w:rsid w:val="0E7E0566"/>
    <w:rsid w:val="0EE3661B"/>
    <w:rsid w:val="0EF96AB4"/>
    <w:rsid w:val="0EFB5712"/>
    <w:rsid w:val="0F2509E1"/>
    <w:rsid w:val="0F3A448D"/>
    <w:rsid w:val="0F403A6D"/>
    <w:rsid w:val="0F4C5F6E"/>
    <w:rsid w:val="0F6C2202"/>
    <w:rsid w:val="0FB56209"/>
    <w:rsid w:val="0FC85F3C"/>
    <w:rsid w:val="103D2D56"/>
    <w:rsid w:val="107C2883"/>
    <w:rsid w:val="109202F8"/>
    <w:rsid w:val="10DB7788"/>
    <w:rsid w:val="10DD5A17"/>
    <w:rsid w:val="10F863AD"/>
    <w:rsid w:val="110A60E1"/>
    <w:rsid w:val="112A22DF"/>
    <w:rsid w:val="112C24FB"/>
    <w:rsid w:val="11333889"/>
    <w:rsid w:val="114F1D45"/>
    <w:rsid w:val="115D26B4"/>
    <w:rsid w:val="120066AC"/>
    <w:rsid w:val="122D2087"/>
    <w:rsid w:val="12307DC9"/>
    <w:rsid w:val="12502219"/>
    <w:rsid w:val="129F0AAB"/>
    <w:rsid w:val="12CF3E25"/>
    <w:rsid w:val="12F157AA"/>
    <w:rsid w:val="12FC5EFD"/>
    <w:rsid w:val="131E713A"/>
    <w:rsid w:val="1324792E"/>
    <w:rsid w:val="13541895"/>
    <w:rsid w:val="135628BD"/>
    <w:rsid w:val="138228A6"/>
    <w:rsid w:val="13A75E69"/>
    <w:rsid w:val="13B66D6C"/>
    <w:rsid w:val="14333422"/>
    <w:rsid w:val="14537127"/>
    <w:rsid w:val="14551D69"/>
    <w:rsid w:val="148443FC"/>
    <w:rsid w:val="148F527B"/>
    <w:rsid w:val="149C34F4"/>
    <w:rsid w:val="14D709D0"/>
    <w:rsid w:val="151C4634"/>
    <w:rsid w:val="15A22D8C"/>
    <w:rsid w:val="15C26F8A"/>
    <w:rsid w:val="15F2203F"/>
    <w:rsid w:val="162C6AF9"/>
    <w:rsid w:val="16421E79"/>
    <w:rsid w:val="168B3820"/>
    <w:rsid w:val="16C9740F"/>
    <w:rsid w:val="170D692B"/>
    <w:rsid w:val="17186A06"/>
    <w:rsid w:val="17214ABE"/>
    <w:rsid w:val="172872C1"/>
    <w:rsid w:val="1753000C"/>
    <w:rsid w:val="17732C32"/>
    <w:rsid w:val="177639A3"/>
    <w:rsid w:val="1791130A"/>
    <w:rsid w:val="17C57205"/>
    <w:rsid w:val="17F453F5"/>
    <w:rsid w:val="18160EB9"/>
    <w:rsid w:val="18267CA4"/>
    <w:rsid w:val="183B3024"/>
    <w:rsid w:val="18881EE7"/>
    <w:rsid w:val="18AB1F57"/>
    <w:rsid w:val="18B52DD6"/>
    <w:rsid w:val="18E90CD1"/>
    <w:rsid w:val="18ED0069"/>
    <w:rsid w:val="18F85C80"/>
    <w:rsid w:val="19151AC7"/>
    <w:rsid w:val="192F2B88"/>
    <w:rsid w:val="195E34D2"/>
    <w:rsid w:val="19742C91"/>
    <w:rsid w:val="198804EA"/>
    <w:rsid w:val="19CF5FFD"/>
    <w:rsid w:val="1A000561"/>
    <w:rsid w:val="1A163D48"/>
    <w:rsid w:val="1A2B3D03"/>
    <w:rsid w:val="1A404921"/>
    <w:rsid w:val="1A5D54D3"/>
    <w:rsid w:val="1A670100"/>
    <w:rsid w:val="1A6D6D72"/>
    <w:rsid w:val="1A877678"/>
    <w:rsid w:val="1AB1581F"/>
    <w:rsid w:val="1AB45FDC"/>
    <w:rsid w:val="1AD05CA5"/>
    <w:rsid w:val="1B0D6EF9"/>
    <w:rsid w:val="1B1A1616"/>
    <w:rsid w:val="1B32070E"/>
    <w:rsid w:val="1B356450"/>
    <w:rsid w:val="1B604B2D"/>
    <w:rsid w:val="1B723200"/>
    <w:rsid w:val="1B8F790E"/>
    <w:rsid w:val="1BB9498B"/>
    <w:rsid w:val="1BBB0703"/>
    <w:rsid w:val="1BCB46BE"/>
    <w:rsid w:val="1BD16179"/>
    <w:rsid w:val="1BE7774A"/>
    <w:rsid w:val="1BF8447F"/>
    <w:rsid w:val="1C016B46"/>
    <w:rsid w:val="1C0320AA"/>
    <w:rsid w:val="1C4F0E07"/>
    <w:rsid w:val="1C7F3E27"/>
    <w:rsid w:val="1C80194D"/>
    <w:rsid w:val="1C973229"/>
    <w:rsid w:val="1CBD494F"/>
    <w:rsid w:val="1CDA72AF"/>
    <w:rsid w:val="1D532BBD"/>
    <w:rsid w:val="1D631052"/>
    <w:rsid w:val="1D8F1E47"/>
    <w:rsid w:val="1DA819EC"/>
    <w:rsid w:val="1E1C7453"/>
    <w:rsid w:val="1E85324A"/>
    <w:rsid w:val="1EC00D2B"/>
    <w:rsid w:val="1F132604"/>
    <w:rsid w:val="1F4C5B16"/>
    <w:rsid w:val="1F577349"/>
    <w:rsid w:val="1F647304"/>
    <w:rsid w:val="1FBC4A4A"/>
    <w:rsid w:val="1FC35F1F"/>
    <w:rsid w:val="1FD2426D"/>
    <w:rsid w:val="1FF460D9"/>
    <w:rsid w:val="208C08C0"/>
    <w:rsid w:val="20A57BD4"/>
    <w:rsid w:val="20B8306E"/>
    <w:rsid w:val="20C0056A"/>
    <w:rsid w:val="20C22534"/>
    <w:rsid w:val="20CE4D59"/>
    <w:rsid w:val="20EE7DD6"/>
    <w:rsid w:val="20FC3C98"/>
    <w:rsid w:val="211F496C"/>
    <w:rsid w:val="213A12A9"/>
    <w:rsid w:val="213E563D"/>
    <w:rsid w:val="216361B0"/>
    <w:rsid w:val="222351AC"/>
    <w:rsid w:val="22431452"/>
    <w:rsid w:val="226C3237"/>
    <w:rsid w:val="228D26CE"/>
    <w:rsid w:val="228E4DC3"/>
    <w:rsid w:val="229121BE"/>
    <w:rsid w:val="22B63379"/>
    <w:rsid w:val="22B83BEE"/>
    <w:rsid w:val="22CA1B74"/>
    <w:rsid w:val="22EE13BE"/>
    <w:rsid w:val="2307710F"/>
    <w:rsid w:val="230E380E"/>
    <w:rsid w:val="23465B2A"/>
    <w:rsid w:val="23566F63"/>
    <w:rsid w:val="23C95987"/>
    <w:rsid w:val="23CE6C7E"/>
    <w:rsid w:val="23EB3B50"/>
    <w:rsid w:val="24540077"/>
    <w:rsid w:val="245A7045"/>
    <w:rsid w:val="246B6A3F"/>
    <w:rsid w:val="248D4C07"/>
    <w:rsid w:val="24997A50"/>
    <w:rsid w:val="249B7324"/>
    <w:rsid w:val="24A51F50"/>
    <w:rsid w:val="251672B5"/>
    <w:rsid w:val="251D41DD"/>
    <w:rsid w:val="251E1D03"/>
    <w:rsid w:val="25327CCA"/>
    <w:rsid w:val="25493224"/>
    <w:rsid w:val="256F255E"/>
    <w:rsid w:val="25E00CAE"/>
    <w:rsid w:val="25E17DC7"/>
    <w:rsid w:val="25F25669"/>
    <w:rsid w:val="261A696E"/>
    <w:rsid w:val="26323CB8"/>
    <w:rsid w:val="268A3AF4"/>
    <w:rsid w:val="26900B55"/>
    <w:rsid w:val="26A61FB0"/>
    <w:rsid w:val="26CF1507"/>
    <w:rsid w:val="270C62B7"/>
    <w:rsid w:val="275B0FEC"/>
    <w:rsid w:val="277B67FF"/>
    <w:rsid w:val="278C389C"/>
    <w:rsid w:val="279067B0"/>
    <w:rsid w:val="27CC5A46"/>
    <w:rsid w:val="27D03788"/>
    <w:rsid w:val="27DA0163"/>
    <w:rsid w:val="27EE3C0E"/>
    <w:rsid w:val="27FB3B96"/>
    <w:rsid w:val="283F26BC"/>
    <w:rsid w:val="28667C49"/>
    <w:rsid w:val="286D0FD7"/>
    <w:rsid w:val="287F0D0A"/>
    <w:rsid w:val="28812CD5"/>
    <w:rsid w:val="28844573"/>
    <w:rsid w:val="288822B5"/>
    <w:rsid w:val="28A432C9"/>
    <w:rsid w:val="29086F3D"/>
    <w:rsid w:val="2927562A"/>
    <w:rsid w:val="292D4474"/>
    <w:rsid w:val="2938121A"/>
    <w:rsid w:val="2939535D"/>
    <w:rsid w:val="29453D02"/>
    <w:rsid w:val="296028EA"/>
    <w:rsid w:val="2A076A4A"/>
    <w:rsid w:val="2A3C6EB3"/>
    <w:rsid w:val="2A8F792B"/>
    <w:rsid w:val="2A975A26"/>
    <w:rsid w:val="2ACD2201"/>
    <w:rsid w:val="2AED63FF"/>
    <w:rsid w:val="2AF92FF6"/>
    <w:rsid w:val="2B285689"/>
    <w:rsid w:val="2B2E5964"/>
    <w:rsid w:val="2B82123D"/>
    <w:rsid w:val="2BAA0794"/>
    <w:rsid w:val="2BDB6BA0"/>
    <w:rsid w:val="2C0C5FE6"/>
    <w:rsid w:val="2C1005F7"/>
    <w:rsid w:val="2C1A5638"/>
    <w:rsid w:val="2C4C416B"/>
    <w:rsid w:val="2C603BDB"/>
    <w:rsid w:val="2C731D5A"/>
    <w:rsid w:val="2C884632"/>
    <w:rsid w:val="2CB01DDA"/>
    <w:rsid w:val="2CB573F1"/>
    <w:rsid w:val="2CB82A3D"/>
    <w:rsid w:val="2CE4154E"/>
    <w:rsid w:val="2D012636"/>
    <w:rsid w:val="2D095047"/>
    <w:rsid w:val="2D1212FC"/>
    <w:rsid w:val="2D2F2CFF"/>
    <w:rsid w:val="2D393B7E"/>
    <w:rsid w:val="2D522E91"/>
    <w:rsid w:val="2D684463"/>
    <w:rsid w:val="2D6F0569"/>
    <w:rsid w:val="2D7D4992"/>
    <w:rsid w:val="2DC7367F"/>
    <w:rsid w:val="2DCA2A28"/>
    <w:rsid w:val="2DCA6ECC"/>
    <w:rsid w:val="2E0423DE"/>
    <w:rsid w:val="2E0C1292"/>
    <w:rsid w:val="2E255FEF"/>
    <w:rsid w:val="2E2E0A1D"/>
    <w:rsid w:val="2E334A71"/>
    <w:rsid w:val="2E383E35"/>
    <w:rsid w:val="2E4175B9"/>
    <w:rsid w:val="2E81758A"/>
    <w:rsid w:val="2E8E1CA7"/>
    <w:rsid w:val="2EBC0C2C"/>
    <w:rsid w:val="2EDA4EED"/>
    <w:rsid w:val="2F35748D"/>
    <w:rsid w:val="2F3C5BA7"/>
    <w:rsid w:val="2FE06533"/>
    <w:rsid w:val="2FFF5C20"/>
    <w:rsid w:val="300264A9"/>
    <w:rsid w:val="30197C97"/>
    <w:rsid w:val="302723B3"/>
    <w:rsid w:val="305111DE"/>
    <w:rsid w:val="3082583C"/>
    <w:rsid w:val="308B2942"/>
    <w:rsid w:val="30923F09"/>
    <w:rsid w:val="309F63EE"/>
    <w:rsid w:val="30F46739"/>
    <w:rsid w:val="311C17EC"/>
    <w:rsid w:val="318B6972"/>
    <w:rsid w:val="31BB2DB3"/>
    <w:rsid w:val="31F938DC"/>
    <w:rsid w:val="3200110E"/>
    <w:rsid w:val="321B7CF6"/>
    <w:rsid w:val="32877139"/>
    <w:rsid w:val="33114C55"/>
    <w:rsid w:val="33292AF7"/>
    <w:rsid w:val="334D2131"/>
    <w:rsid w:val="3350577D"/>
    <w:rsid w:val="335A65FC"/>
    <w:rsid w:val="335C6818"/>
    <w:rsid w:val="3369683F"/>
    <w:rsid w:val="33744D0D"/>
    <w:rsid w:val="339947E9"/>
    <w:rsid w:val="33A21B7D"/>
    <w:rsid w:val="33A929EA"/>
    <w:rsid w:val="33D04B10"/>
    <w:rsid w:val="34063B13"/>
    <w:rsid w:val="34645A81"/>
    <w:rsid w:val="34AF2977"/>
    <w:rsid w:val="34D50630"/>
    <w:rsid w:val="34EC597A"/>
    <w:rsid w:val="34EF3F2A"/>
    <w:rsid w:val="351647A5"/>
    <w:rsid w:val="35191D2E"/>
    <w:rsid w:val="3525326F"/>
    <w:rsid w:val="352944D8"/>
    <w:rsid w:val="35342C4D"/>
    <w:rsid w:val="35B17AB9"/>
    <w:rsid w:val="35D85641"/>
    <w:rsid w:val="35EA2872"/>
    <w:rsid w:val="361221A9"/>
    <w:rsid w:val="36271315"/>
    <w:rsid w:val="362B4280"/>
    <w:rsid w:val="366B28CE"/>
    <w:rsid w:val="36853990"/>
    <w:rsid w:val="368971C1"/>
    <w:rsid w:val="36C148F4"/>
    <w:rsid w:val="36C558AC"/>
    <w:rsid w:val="36FA25D0"/>
    <w:rsid w:val="371C0798"/>
    <w:rsid w:val="372238D5"/>
    <w:rsid w:val="37B3452D"/>
    <w:rsid w:val="37DD15AA"/>
    <w:rsid w:val="38042A8C"/>
    <w:rsid w:val="3815793D"/>
    <w:rsid w:val="38D46E50"/>
    <w:rsid w:val="39353959"/>
    <w:rsid w:val="39706B79"/>
    <w:rsid w:val="39874323"/>
    <w:rsid w:val="39A36682"/>
    <w:rsid w:val="39AB195F"/>
    <w:rsid w:val="39AB7BB1"/>
    <w:rsid w:val="39B85737"/>
    <w:rsid w:val="39F552D0"/>
    <w:rsid w:val="3A0E1EEE"/>
    <w:rsid w:val="3A1C0AAF"/>
    <w:rsid w:val="3A1F40FB"/>
    <w:rsid w:val="3A23599A"/>
    <w:rsid w:val="3A255BB6"/>
    <w:rsid w:val="3A652CCE"/>
    <w:rsid w:val="3AF85078"/>
    <w:rsid w:val="3B00217F"/>
    <w:rsid w:val="3B440E2B"/>
    <w:rsid w:val="3B4C7172"/>
    <w:rsid w:val="3B5014E9"/>
    <w:rsid w:val="3B702E61"/>
    <w:rsid w:val="3B954675"/>
    <w:rsid w:val="3BA74BF0"/>
    <w:rsid w:val="3BB32B34"/>
    <w:rsid w:val="3BC907C3"/>
    <w:rsid w:val="3BE253E0"/>
    <w:rsid w:val="3C3025F0"/>
    <w:rsid w:val="3C371BD0"/>
    <w:rsid w:val="3C3F599F"/>
    <w:rsid w:val="3C5F4158"/>
    <w:rsid w:val="3C6D73A0"/>
    <w:rsid w:val="3C753521"/>
    <w:rsid w:val="3CC35212"/>
    <w:rsid w:val="3CC72F54"/>
    <w:rsid w:val="3CCB2319"/>
    <w:rsid w:val="3D6267D9"/>
    <w:rsid w:val="3D6407A3"/>
    <w:rsid w:val="3D801355"/>
    <w:rsid w:val="3DB72FC9"/>
    <w:rsid w:val="3DED04A3"/>
    <w:rsid w:val="3E135D25"/>
    <w:rsid w:val="3E2E2B5F"/>
    <w:rsid w:val="3E565D2B"/>
    <w:rsid w:val="3E886713"/>
    <w:rsid w:val="3E9C5D1B"/>
    <w:rsid w:val="3EAD0F7A"/>
    <w:rsid w:val="3F0F473E"/>
    <w:rsid w:val="3F12422F"/>
    <w:rsid w:val="3F242CC7"/>
    <w:rsid w:val="3F4A5777"/>
    <w:rsid w:val="3F854A01"/>
    <w:rsid w:val="3FAE03FB"/>
    <w:rsid w:val="3FBB5CED"/>
    <w:rsid w:val="3FED5029"/>
    <w:rsid w:val="3FFF0C57"/>
    <w:rsid w:val="401D0076"/>
    <w:rsid w:val="4046720F"/>
    <w:rsid w:val="407D392A"/>
    <w:rsid w:val="408A6E2E"/>
    <w:rsid w:val="40AA0BC3"/>
    <w:rsid w:val="40D54D9C"/>
    <w:rsid w:val="40E67721"/>
    <w:rsid w:val="410302D3"/>
    <w:rsid w:val="410B7187"/>
    <w:rsid w:val="412D70FE"/>
    <w:rsid w:val="41410DFB"/>
    <w:rsid w:val="416A2100"/>
    <w:rsid w:val="41764F49"/>
    <w:rsid w:val="417C1E33"/>
    <w:rsid w:val="418036D2"/>
    <w:rsid w:val="41A43864"/>
    <w:rsid w:val="41A82C28"/>
    <w:rsid w:val="41F82519"/>
    <w:rsid w:val="420A1D04"/>
    <w:rsid w:val="42146A90"/>
    <w:rsid w:val="4250579A"/>
    <w:rsid w:val="429C09DF"/>
    <w:rsid w:val="429D02B3"/>
    <w:rsid w:val="42BF022A"/>
    <w:rsid w:val="42EF0BCB"/>
    <w:rsid w:val="42F75C15"/>
    <w:rsid w:val="43120CA1"/>
    <w:rsid w:val="431F161C"/>
    <w:rsid w:val="43476B9D"/>
    <w:rsid w:val="435C1F1C"/>
    <w:rsid w:val="436A288B"/>
    <w:rsid w:val="436C03B1"/>
    <w:rsid w:val="4379487C"/>
    <w:rsid w:val="4398459C"/>
    <w:rsid w:val="43CD4BC8"/>
    <w:rsid w:val="43DD12AF"/>
    <w:rsid w:val="44084462"/>
    <w:rsid w:val="441261DB"/>
    <w:rsid w:val="441D5B50"/>
    <w:rsid w:val="446071E8"/>
    <w:rsid w:val="4474119F"/>
    <w:rsid w:val="44903204"/>
    <w:rsid w:val="44B506F8"/>
    <w:rsid w:val="44C304A5"/>
    <w:rsid w:val="451124F4"/>
    <w:rsid w:val="45321187"/>
    <w:rsid w:val="454F4C52"/>
    <w:rsid w:val="45570BED"/>
    <w:rsid w:val="45605CF4"/>
    <w:rsid w:val="45AC718B"/>
    <w:rsid w:val="46113D93"/>
    <w:rsid w:val="462F1B6A"/>
    <w:rsid w:val="46537AD2"/>
    <w:rsid w:val="4654337F"/>
    <w:rsid w:val="466510E8"/>
    <w:rsid w:val="468C0D6B"/>
    <w:rsid w:val="46945D41"/>
    <w:rsid w:val="46A01545"/>
    <w:rsid w:val="46B34549"/>
    <w:rsid w:val="46BC1650"/>
    <w:rsid w:val="46BD633C"/>
    <w:rsid w:val="46BD7176"/>
    <w:rsid w:val="46F96400"/>
    <w:rsid w:val="47032A94"/>
    <w:rsid w:val="47395E3F"/>
    <w:rsid w:val="476615BC"/>
    <w:rsid w:val="47946129"/>
    <w:rsid w:val="47A345BE"/>
    <w:rsid w:val="47E524E0"/>
    <w:rsid w:val="47F06614"/>
    <w:rsid w:val="47F72214"/>
    <w:rsid w:val="48455675"/>
    <w:rsid w:val="48517B76"/>
    <w:rsid w:val="486B3CCF"/>
    <w:rsid w:val="4871646A"/>
    <w:rsid w:val="48762A29"/>
    <w:rsid w:val="488C32A4"/>
    <w:rsid w:val="48AB5140"/>
    <w:rsid w:val="48B01C07"/>
    <w:rsid w:val="48D04F3E"/>
    <w:rsid w:val="48E07B1F"/>
    <w:rsid w:val="491325C4"/>
    <w:rsid w:val="49663AF5"/>
    <w:rsid w:val="499F0DB5"/>
    <w:rsid w:val="499F2B63"/>
    <w:rsid w:val="49A1711B"/>
    <w:rsid w:val="49B83D5B"/>
    <w:rsid w:val="49E35145"/>
    <w:rsid w:val="4A0B01F8"/>
    <w:rsid w:val="4A0F5F3A"/>
    <w:rsid w:val="4A2F3EE7"/>
    <w:rsid w:val="4A804742"/>
    <w:rsid w:val="4A9525BF"/>
    <w:rsid w:val="4AB10DA0"/>
    <w:rsid w:val="4AD66A58"/>
    <w:rsid w:val="4AEB42B2"/>
    <w:rsid w:val="4AF15640"/>
    <w:rsid w:val="4B157580"/>
    <w:rsid w:val="4B1A095A"/>
    <w:rsid w:val="4B6776B0"/>
    <w:rsid w:val="4BAB57EF"/>
    <w:rsid w:val="4BB52D66"/>
    <w:rsid w:val="4BBD3FC2"/>
    <w:rsid w:val="4BDE3E16"/>
    <w:rsid w:val="4BE96B18"/>
    <w:rsid w:val="4C172E84"/>
    <w:rsid w:val="4C272AD8"/>
    <w:rsid w:val="4C4A325A"/>
    <w:rsid w:val="4C63431C"/>
    <w:rsid w:val="4C672BCE"/>
    <w:rsid w:val="4C6C0F76"/>
    <w:rsid w:val="4D0A4797"/>
    <w:rsid w:val="4D290918"/>
    <w:rsid w:val="4D352D6A"/>
    <w:rsid w:val="4D381304"/>
    <w:rsid w:val="4D3A507C"/>
    <w:rsid w:val="4D754306"/>
    <w:rsid w:val="4D7A4EDE"/>
    <w:rsid w:val="4D92310A"/>
    <w:rsid w:val="4D933D80"/>
    <w:rsid w:val="4DA82C18"/>
    <w:rsid w:val="4DB52955"/>
    <w:rsid w:val="4DDC4386"/>
    <w:rsid w:val="4E0B1C91"/>
    <w:rsid w:val="4E151645"/>
    <w:rsid w:val="4E255D2C"/>
    <w:rsid w:val="4E3A10AC"/>
    <w:rsid w:val="4E3E6DEE"/>
    <w:rsid w:val="4E8A5B90"/>
    <w:rsid w:val="4EB946C7"/>
    <w:rsid w:val="4ED67027"/>
    <w:rsid w:val="4F142E7A"/>
    <w:rsid w:val="4F161B19"/>
    <w:rsid w:val="4F2A1121"/>
    <w:rsid w:val="4F7725B8"/>
    <w:rsid w:val="4F782A3D"/>
    <w:rsid w:val="4FB70C06"/>
    <w:rsid w:val="4FE237A9"/>
    <w:rsid w:val="4FF05EC6"/>
    <w:rsid w:val="50286526"/>
    <w:rsid w:val="50B67110"/>
    <w:rsid w:val="50CC06E1"/>
    <w:rsid w:val="50CD1DBB"/>
    <w:rsid w:val="510C6D30"/>
    <w:rsid w:val="51287B62"/>
    <w:rsid w:val="51422751"/>
    <w:rsid w:val="51814626"/>
    <w:rsid w:val="51D57A6A"/>
    <w:rsid w:val="51E46B3B"/>
    <w:rsid w:val="51EE6435"/>
    <w:rsid w:val="5245699D"/>
    <w:rsid w:val="52C85E60"/>
    <w:rsid w:val="52E20650"/>
    <w:rsid w:val="531C78B2"/>
    <w:rsid w:val="534053B7"/>
    <w:rsid w:val="53487DC7"/>
    <w:rsid w:val="53591FD4"/>
    <w:rsid w:val="535A6478"/>
    <w:rsid w:val="535E583D"/>
    <w:rsid w:val="53650979"/>
    <w:rsid w:val="5372025D"/>
    <w:rsid w:val="538912EB"/>
    <w:rsid w:val="53894668"/>
    <w:rsid w:val="53A2510A"/>
    <w:rsid w:val="53A37F52"/>
    <w:rsid w:val="53A92F5C"/>
    <w:rsid w:val="53AC050C"/>
    <w:rsid w:val="53AC47FA"/>
    <w:rsid w:val="53EB70D0"/>
    <w:rsid w:val="54212AF2"/>
    <w:rsid w:val="544A4269"/>
    <w:rsid w:val="54692861"/>
    <w:rsid w:val="5490114E"/>
    <w:rsid w:val="54E01282"/>
    <w:rsid w:val="54EF0E42"/>
    <w:rsid w:val="550740BD"/>
    <w:rsid w:val="552634F0"/>
    <w:rsid w:val="553D1BAE"/>
    <w:rsid w:val="555111B5"/>
    <w:rsid w:val="555313D1"/>
    <w:rsid w:val="555869E7"/>
    <w:rsid w:val="5563538C"/>
    <w:rsid w:val="557D644E"/>
    <w:rsid w:val="558A0B6B"/>
    <w:rsid w:val="55983288"/>
    <w:rsid w:val="55EA0798"/>
    <w:rsid w:val="55F54236"/>
    <w:rsid w:val="560163AA"/>
    <w:rsid w:val="56101070"/>
    <w:rsid w:val="565769C2"/>
    <w:rsid w:val="566C201F"/>
    <w:rsid w:val="567D5FDA"/>
    <w:rsid w:val="56B347E4"/>
    <w:rsid w:val="56C21B38"/>
    <w:rsid w:val="5728063B"/>
    <w:rsid w:val="575D504D"/>
    <w:rsid w:val="576F626A"/>
    <w:rsid w:val="57853398"/>
    <w:rsid w:val="578E4942"/>
    <w:rsid w:val="585119A0"/>
    <w:rsid w:val="58611E10"/>
    <w:rsid w:val="5890783C"/>
    <w:rsid w:val="58D42ABD"/>
    <w:rsid w:val="58DC00DB"/>
    <w:rsid w:val="58DE7204"/>
    <w:rsid w:val="58F92290"/>
    <w:rsid w:val="58FC3B2E"/>
    <w:rsid w:val="59831B59"/>
    <w:rsid w:val="59A246D5"/>
    <w:rsid w:val="59AA5338"/>
    <w:rsid w:val="59B461B6"/>
    <w:rsid w:val="59EF71EF"/>
    <w:rsid w:val="5A1C100A"/>
    <w:rsid w:val="5A4B62FE"/>
    <w:rsid w:val="5A513A05"/>
    <w:rsid w:val="5A7A4217"/>
    <w:rsid w:val="5A7B6CD4"/>
    <w:rsid w:val="5A8C0EE1"/>
    <w:rsid w:val="5AA12BDF"/>
    <w:rsid w:val="5AB26B9A"/>
    <w:rsid w:val="5AD65B96"/>
    <w:rsid w:val="5B060C94"/>
    <w:rsid w:val="5BD62414"/>
    <w:rsid w:val="5BE91780"/>
    <w:rsid w:val="5BF136F2"/>
    <w:rsid w:val="5C34538D"/>
    <w:rsid w:val="5C3929A3"/>
    <w:rsid w:val="5C8A31FF"/>
    <w:rsid w:val="5CCC1A69"/>
    <w:rsid w:val="5CDF79EE"/>
    <w:rsid w:val="5CEB1EEF"/>
    <w:rsid w:val="5D521F6E"/>
    <w:rsid w:val="5D7B9DC1"/>
    <w:rsid w:val="5D804D2D"/>
    <w:rsid w:val="5DAF116F"/>
    <w:rsid w:val="5DFE5C52"/>
    <w:rsid w:val="5E2A2EEB"/>
    <w:rsid w:val="5E457D25"/>
    <w:rsid w:val="5E6D2E75"/>
    <w:rsid w:val="5EC46E9C"/>
    <w:rsid w:val="5F0E45BB"/>
    <w:rsid w:val="5F1F0576"/>
    <w:rsid w:val="5F291426"/>
    <w:rsid w:val="5F3A53B0"/>
    <w:rsid w:val="5F441D8B"/>
    <w:rsid w:val="5F56076B"/>
    <w:rsid w:val="5F5F4E16"/>
    <w:rsid w:val="5F6B5569"/>
    <w:rsid w:val="5F73441E"/>
    <w:rsid w:val="5F797C86"/>
    <w:rsid w:val="5F97635E"/>
    <w:rsid w:val="5FB23198"/>
    <w:rsid w:val="604069F6"/>
    <w:rsid w:val="60B5113E"/>
    <w:rsid w:val="60BD3BA3"/>
    <w:rsid w:val="60C35FB8"/>
    <w:rsid w:val="60D30C29"/>
    <w:rsid w:val="60E05AE3"/>
    <w:rsid w:val="60F33A68"/>
    <w:rsid w:val="613227E3"/>
    <w:rsid w:val="6134408D"/>
    <w:rsid w:val="6142679E"/>
    <w:rsid w:val="6155027F"/>
    <w:rsid w:val="61955BE0"/>
    <w:rsid w:val="619568CD"/>
    <w:rsid w:val="619D5782"/>
    <w:rsid w:val="61A82AA5"/>
    <w:rsid w:val="61C3168D"/>
    <w:rsid w:val="61F628E8"/>
    <w:rsid w:val="6220088D"/>
    <w:rsid w:val="624B3430"/>
    <w:rsid w:val="62507EEA"/>
    <w:rsid w:val="62562501"/>
    <w:rsid w:val="6258567D"/>
    <w:rsid w:val="626E6B5C"/>
    <w:rsid w:val="62EA0E9B"/>
    <w:rsid w:val="630755A9"/>
    <w:rsid w:val="63163A3E"/>
    <w:rsid w:val="634C3904"/>
    <w:rsid w:val="636429FB"/>
    <w:rsid w:val="638C51AC"/>
    <w:rsid w:val="638E5CCA"/>
    <w:rsid w:val="63936E3D"/>
    <w:rsid w:val="63FD075A"/>
    <w:rsid w:val="64040B40"/>
    <w:rsid w:val="648D7D30"/>
    <w:rsid w:val="649410BE"/>
    <w:rsid w:val="64A04927"/>
    <w:rsid w:val="64C33752"/>
    <w:rsid w:val="64EC4F6D"/>
    <w:rsid w:val="64F35D38"/>
    <w:rsid w:val="651A2D2A"/>
    <w:rsid w:val="652F12CE"/>
    <w:rsid w:val="654E3963"/>
    <w:rsid w:val="656873E5"/>
    <w:rsid w:val="65A90B99"/>
    <w:rsid w:val="65B25CA0"/>
    <w:rsid w:val="65B65064"/>
    <w:rsid w:val="660404C6"/>
    <w:rsid w:val="660B1A36"/>
    <w:rsid w:val="661F2C0A"/>
    <w:rsid w:val="66214BD4"/>
    <w:rsid w:val="663A3EE7"/>
    <w:rsid w:val="66417024"/>
    <w:rsid w:val="6663343E"/>
    <w:rsid w:val="66A36174"/>
    <w:rsid w:val="66D63C10"/>
    <w:rsid w:val="66D87988"/>
    <w:rsid w:val="66E83943"/>
    <w:rsid w:val="66F66060"/>
    <w:rsid w:val="66FB3677"/>
    <w:rsid w:val="672B33FE"/>
    <w:rsid w:val="673D6D14"/>
    <w:rsid w:val="674E19F8"/>
    <w:rsid w:val="677C5CC9"/>
    <w:rsid w:val="677E1BB2"/>
    <w:rsid w:val="67C07452"/>
    <w:rsid w:val="67E4410B"/>
    <w:rsid w:val="67E934CF"/>
    <w:rsid w:val="6815114A"/>
    <w:rsid w:val="681E586F"/>
    <w:rsid w:val="68410EF7"/>
    <w:rsid w:val="68784853"/>
    <w:rsid w:val="688651C2"/>
    <w:rsid w:val="68AF4E0D"/>
    <w:rsid w:val="68C06926"/>
    <w:rsid w:val="68C61A62"/>
    <w:rsid w:val="68D221B5"/>
    <w:rsid w:val="68E85E7D"/>
    <w:rsid w:val="68F0088D"/>
    <w:rsid w:val="691602F4"/>
    <w:rsid w:val="696A6892"/>
    <w:rsid w:val="69AE677E"/>
    <w:rsid w:val="69C935B8"/>
    <w:rsid w:val="69EE74C3"/>
    <w:rsid w:val="6A0D5B9B"/>
    <w:rsid w:val="6A2151A2"/>
    <w:rsid w:val="6A2D7545"/>
    <w:rsid w:val="6A4C232D"/>
    <w:rsid w:val="6A527A52"/>
    <w:rsid w:val="6A537326"/>
    <w:rsid w:val="6A6255CE"/>
    <w:rsid w:val="6A6B466F"/>
    <w:rsid w:val="6A755144"/>
    <w:rsid w:val="6A832750"/>
    <w:rsid w:val="6A9E40CF"/>
    <w:rsid w:val="6AC97FD8"/>
    <w:rsid w:val="6B671384"/>
    <w:rsid w:val="6B80414A"/>
    <w:rsid w:val="6BE02E3B"/>
    <w:rsid w:val="6BEB7874"/>
    <w:rsid w:val="6BEC607D"/>
    <w:rsid w:val="6C044D7B"/>
    <w:rsid w:val="6C09402E"/>
    <w:rsid w:val="6C4909E0"/>
    <w:rsid w:val="6C4D6722"/>
    <w:rsid w:val="6C6B0957"/>
    <w:rsid w:val="6C705F6D"/>
    <w:rsid w:val="6C845BE3"/>
    <w:rsid w:val="6C980234"/>
    <w:rsid w:val="6C9C1458"/>
    <w:rsid w:val="6CCA6ED9"/>
    <w:rsid w:val="6CFE7A1D"/>
    <w:rsid w:val="6D1F1741"/>
    <w:rsid w:val="6D7B2E1B"/>
    <w:rsid w:val="6D907E9F"/>
    <w:rsid w:val="6D9257C2"/>
    <w:rsid w:val="6DE27678"/>
    <w:rsid w:val="6E533D98"/>
    <w:rsid w:val="6E7D2BC3"/>
    <w:rsid w:val="6EEB2223"/>
    <w:rsid w:val="6F173018"/>
    <w:rsid w:val="6F38459B"/>
    <w:rsid w:val="6F3B6D06"/>
    <w:rsid w:val="6F672856"/>
    <w:rsid w:val="6F7C10CD"/>
    <w:rsid w:val="6F92557B"/>
    <w:rsid w:val="6FA40A2F"/>
    <w:rsid w:val="6FB95E7D"/>
    <w:rsid w:val="700A492A"/>
    <w:rsid w:val="701557A9"/>
    <w:rsid w:val="702624CA"/>
    <w:rsid w:val="702E1E01"/>
    <w:rsid w:val="705838E8"/>
    <w:rsid w:val="707068C7"/>
    <w:rsid w:val="70875F7B"/>
    <w:rsid w:val="70D867D7"/>
    <w:rsid w:val="70F51137"/>
    <w:rsid w:val="711C4FDE"/>
    <w:rsid w:val="716C3F64"/>
    <w:rsid w:val="717D2EDC"/>
    <w:rsid w:val="71866233"/>
    <w:rsid w:val="71A21B6E"/>
    <w:rsid w:val="71A36DE5"/>
    <w:rsid w:val="71CF1988"/>
    <w:rsid w:val="72037883"/>
    <w:rsid w:val="7209396E"/>
    <w:rsid w:val="720D52BE"/>
    <w:rsid w:val="72440855"/>
    <w:rsid w:val="724C122A"/>
    <w:rsid w:val="725D43B0"/>
    <w:rsid w:val="727131C2"/>
    <w:rsid w:val="72767030"/>
    <w:rsid w:val="72780053"/>
    <w:rsid w:val="727A5D97"/>
    <w:rsid w:val="72872262"/>
    <w:rsid w:val="728F6249"/>
    <w:rsid w:val="72AE3C93"/>
    <w:rsid w:val="72CC4119"/>
    <w:rsid w:val="72F13B80"/>
    <w:rsid w:val="730B446C"/>
    <w:rsid w:val="73267CCD"/>
    <w:rsid w:val="73320420"/>
    <w:rsid w:val="736175D9"/>
    <w:rsid w:val="73683E42"/>
    <w:rsid w:val="7393688E"/>
    <w:rsid w:val="739E1612"/>
    <w:rsid w:val="73A56E44"/>
    <w:rsid w:val="73C60B68"/>
    <w:rsid w:val="73D72ED9"/>
    <w:rsid w:val="73F25E01"/>
    <w:rsid w:val="74135F97"/>
    <w:rsid w:val="741B67DE"/>
    <w:rsid w:val="741C69DA"/>
    <w:rsid w:val="742442AB"/>
    <w:rsid w:val="74403DA8"/>
    <w:rsid w:val="7447614D"/>
    <w:rsid w:val="745E6FF3"/>
    <w:rsid w:val="745F3497"/>
    <w:rsid w:val="74723210"/>
    <w:rsid w:val="74850A24"/>
    <w:rsid w:val="74C7103C"/>
    <w:rsid w:val="74CC0400"/>
    <w:rsid w:val="74DA48CB"/>
    <w:rsid w:val="75063912"/>
    <w:rsid w:val="751F6609"/>
    <w:rsid w:val="752244C4"/>
    <w:rsid w:val="75744F3C"/>
    <w:rsid w:val="757C5983"/>
    <w:rsid w:val="75BD5C64"/>
    <w:rsid w:val="75CC46E9"/>
    <w:rsid w:val="75E654F2"/>
    <w:rsid w:val="75F61BD9"/>
    <w:rsid w:val="76004806"/>
    <w:rsid w:val="764D08AD"/>
    <w:rsid w:val="765B754E"/>
    <w:rsid w:val="76756233"/>
    <w:rsid w:val="76967512"/>
    <w:rsid w:val="769E7B7B"/>
    <w:rsid w:val="76A827A7"/>
    <w:rsid w:val="76B31878"/>
    <w:rsid w:val="76BB072D"/>
    <w:rsid w:val="76BB697E"/>
    <w:rsid w:val="76C021E7"/>
    <w:rsid w:val="76CC62A5"/>
    <w:rsid w:val="771628B2"/>
    <w:rsid w:val="777C4360"/>
    <w:rsid w:val="77CD0717"/>
    <w:rsid w:val="77EBEFD4"/>
    <w:rsid w:val="77F14919"/>
    <w:rsid w:val="781F4CEB"/>
    <w:rsid w:val="786848E4"/>
    <w:rsid w:val="78857244"/>
    <w:rsid w:val="789C4C2E"/>
    <w:rsid w:val="78BD078C"/>
    <w:rsid w:val="78CA10FB"/>
    <w:rsid w:val="78CC4E73"/>
    <w:rsid w:val="78CC6E57"/>
    <w:rsid w:val="78DF4BA6"/>
    <w:rsid w:val="78FB7506"/>
    <w:rsid w:val="792702FB"/>
    <w:rsid w:val="79A508D3"/>
    <w:rsid w:val="79C67B14"/>
    <w:rsid w:val="79E400AD"/>
    <w:rsid w:val="79ED32F3"/>
    <w:rsid w:val="7A306388"/>
    <w:rsid w:val="7A3A5CE2"/>
    <w:rsid w:val="7A562609"/>
    <w:rsid w:val="7A7430CC"/>
    <w:rsid w:val="7A951295"/>
    <w:rsid w:val="7A9664C7"/>
    <w:rsid w:val="7ABB6F4D"/>
    <w:rsid w:val="7AC86E71"/>
    <w:rsid w:val="7AC92FEC"/>
    <w:rsid w:val="7AD86768"/>
    <w:rsid w:val="7B3F1B97"/>
    <w:rsid w:val="7B4707E1"/>
    <w:rsid w:val="7B615D46"/>
    <w:rsid w:val="7B7F4F52"/>
    <w:rsid w:val="7B876E2F"/>
    <w:rsid w:val="7B98103C"/>
    <w:rsid w:val="7BA67BFD"/>
    <w:rsid w:val="7BE10C35"/>
    <w:rsid w:val="7BE16750"/>
    <w:rsid w:val="7BF30969"/>
    <w:rsid w:val="7C077F70"/>
    <w:rsid w:val="7C0861C2"/>
    <w:rsid w:val="7C1903CF"/>
    <w:rsid w:val="7C345209"/>
    <w:rsid w:val="7C574A54"/>
    <w:rsid w:val="7C5B09E8"/>
    <w:rsid w:val="7C86051E"/>
    <w:rsid w:val="7CB43C54"/>
    <w:rsid w:val="7CC540B3"/>
    <w:rsid w:val="7CF2585D"/>
    <w:rsid w:val="7D095530"/>
    <w:rsid w:val="7D1E1A15"/>
    <w:rsid w:val="7D2863F0"/>
    <w:rsid w:val="7D5471E5"/>
    <w:rsid w:val="7D7678E6"/>
    <w:rsid w:val="7DA43CC8"/>
    <w:rsid w:val="7DA939D5"/>
    <w:rsid w:val="7DBA7990"/>
    <w:rsid w:val="7DE06CCB"/>
    <w:rsid w:val="7E1D78AF"/>
    <w:rsid w:val="7E225B11"/>
    <w:rsid w:val="7E7E6C0F"/>
    <w:rsid w:val="7EB048EF"/>
    <w:rsid w:val="7F173D36"/>
    <w:rsid w:val="7FAA7590"/>
    <w:rsid w:val="7FE0137A"/>
    <w:rsid w:val="9FBBCBB4"/>
    <w:rsid w:val="E4F49FDB"/>
    <w:rsid w:val="EFEE7D79"/>
    <w:rsid w:val="FF5F9B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iPriority="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44"/>
    <w:qFormat/>
    <w:uiPriority w:val="0"/>
    <w:pPr>
      <w:keepNext/>
      <w:keepLines/>
      <w:spacing w:before="340" w:after="110" w:line="480" w:lineRule="auto"/>
      <w:jc w:val="center"/>
      <w:outlineLvl w:val="0"/>
    </w:pPr>
    <w:rPr>
      <w:rFonts w:eastAsia="宋体"/>
      <w:b/>
      <w:kern w:val="44"/>
      <w:sz w:val="44"/>
      <w:szCs w:val="20"/>
    </w:rPr>
  </w:style>
  <w:style w:type="paragraph" w:styleId="4">
    <w:name w:val="heading 2"/>
    <w:basedOn w:val="1"/>
    <w:next w:val="1"/>
    <w:link w:val="43"/>
    <w:semiHidden/>
    <w:unhideWhenUsed/>
    <w:qFormat/>
    <w:uiPriority w:val="0"/>
    <w:pPr>
      <w:keepNext/>
      <w:keepLines/>
      <w:spacing w:before="260" w:after="260" w:line="416" w:lineRule="auto"/>
      <w:outlineLvl w:val="1"/>
    </w:pPr>
    <w:rPr>
      <w:rFonts w:ascii="Calibri Light" w:hAnsi="Calibri Light" w:eastAsia="宋体"/>
      <w:b/>
      <w:bCs/>
      <w:szCs w:val="32"/>
    </w:rPr>
  </w:style>
  <w:style w:type="paragraph" w:styleId="5">
    <w:name w:val="heading 3"/>
    <w:basedOn w:val="1"/>
    <w:next w:val="1"/>
    <w:qFormat/>
    <w:uiPriority w:val="1"/>
    <w:pPr>
      <w:keepNext/>
      <w:keepLines/>
      <w:adjustRightInd w:val="0"/>
      <w:snapToGrid w:val="0"/>
      <w:spacing w:line="360" w:lineRule="auto"/>
      <w:jc w:val="left"/>
      <w:outlineLvl w:val="2"/>
    </w:pPr>
    <w:rPr>
      <w:rFonts w:ascii="宋体" w:hAnsi="宋体" w:eastAsia="宋体"/>
      <w:b/>
      <w:bCs/>
      <w:kern w:val="0"/>
      <w:sz w:val="2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snapToGrid w:val="0"/>
      <w:spacing w:line="360" w:lineRule="exact"/>
    </w:pPr>
    <w:rPr>
      <w:rFonts w:ascii="Arial" w:hAnsi="Arial" w:eastAsia="宋体" w:cs="Arial"/>
      <w:kern w:val="0"/>
      <w:sz w:val="21"/>
    </w:rPr>
  </w:style>
  <w:style w:type="paragraph" w:styleId="6">
    <w:name w:val="Normal Indent"/>
    <w:basedOn w:val="1"/>
    <w:next w:val="1"/>
    <w:semiHidden/>
    <w:unhideWhenUsed/>
    <w:qFormat/>
    <w:uiPriority w:val="0"/>
    <w:pPr>
      <w:ind w:firstLine="420" w:firstLineChars="200"/>
    </w:pPr>
    <w:rPr>
      <w:rFonts w:eastAsia="宋体"/>
      <w:sz w:val="21"/>
    </w:rPr>
  </w:style>
  <w:style w:type="paragraph" w:styleId="7">
    <w:name w:val="annotation text"/>
    <w:basedOn w:val="1"/>
    <w:link w:val="34"/>
    <w:qFormat/>
    <w:uiPriority w:val="0"/>
    <w:pPr>
      <w:jc w:val="left"/>
    </w:pPr>
  </w:style>
  <w:style w:type="paragraph" w:styleId="8">
    <w:name w:val="Body Text"/>
    <w:basedOn w:val="1"/>
    <w:next w:val="9"/>
    <w:qFormat/>
    <w:uiPriority w:val="1"/>
    <w:pPr>
      <w:spacing w:after="120"/>
    </w:pPr>
    <w:rPr>
      <w:rFonts w:eastAsia="宋体"/>
      <w:sz w:val="21"/>
      <w:szCs w:val="21"/>
    </w:rPr>
  </w:style>
  <w:style w:type="paragraph" w:styleId="9">
    <w:name w:val="Body Text First Indent"/>
    <w:basedOn w:val="8"/>
    <w:next w:val="1"/>
    <w:qFormat/>
    <w:uiPriority w:val="99"/>
    <w:pPr>
      <w:widowControl/>
      <w:ind w:firstLine="420" w:firstLineChars="100"/>
      <w:jc w:val="left"/>
    </w:pPr>
    <w:rPr>
      <w:kern w:val="0"/>
    </w:rPr>
  </w:style>
  <w:style w:type="paragraph" w:styleId="10">
    <w:name w:val="Body Text Indent"/>
    <w:basedOn w:val="1"/>
    <w:qFormat/>
    <w:uiPriority w:val="0"/>
    <w:pPr>
      <w:adjustRightInd w:val="0"/>
      <w:spacing w:line="360" w:lineRule="auto"/>
      <w:ind w:firstLine="490"/>
      <w:jc w:val="left"/>
    </w:pPr>
    <w:rPr>
      <w:rFonts w:hint="eastAsia" w:ascii="宋体" w:hAnsi="宋体" w:eastAsia="宋体"/>
      <w:sz w:val="24"/>
      <w:szCs w:val="20"/>
    </w:rPr>
  </w:style>
  <w:style w:type="paragraph" w:styleId="11">
    <w:name w:val="index 4"/>
    <w:basedOn w:val="1"/>
    <w:next w:val="1"/>
    <w:qFormat/>
    <w:uiPriority w:val="0"/>
    <w:pPr>
      <w:ind w:left="600" w:leftChars="600"/>
    </w:pPr>
  </w:style>
  <w:style w:type="paragraph" w:styleId="12">
    <w:name w:val="toc 5"/>
    <w:basedOn w:val="1"/>
    <w:next w:val="1"/>
    <w:qFormat/>
    <w:uiPriority w:val="0"/>
    <w:pPr>
      <w:ind w:left="1680" w:leftChars="800"/>
    </w:pPr>
    <w:rPr>
      <w:rFonts w:eastAsia="宋体"/>
      <w:sz w:val="21"/>
    </w:rPr>
  </w:style>
  <w:style w:type="paragraph" w:styleId="13">
    <w:name w:val="Plain Text"/>
    <w:basedOn w:val="1"/>
    <w:semiHidden/>
    <w:unhideWhenUsed/>
    <w:qFormat/>
    <w:uiPriority w:val="99"/>
    <w:rPr>
      <w:rFonts w:ascii="宋体" w:hAnsi="Courier New" w:eastAsia="宋体"/>
      <w:kern w:val="0"/>
      <w:sz w:val="20"/>
      <w:szCs w:val="20"/>
    </w:rPr>
  </w:style>
  <w:style w:type="paragraph" w:styleId="14">
    <w:name w:val="Date"/>
    <w:basedOn w:val="1"/>
    <w:next w:val="1"/>
    <w:semiHidden/>
    <w:unhideWhenUsed/>
    <w:qFormat/>
    <w:uiPriority w:val="0"/>
    <w:pPr>
      <w:ind w:left="100" w:leftChars="2500"/>
    </w:pPr>
    <w:rPr>
      <w:rFonts w:eastAsia="宋体"/>
      <w:sz w:val="24"/>
    </w:r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35"/>
    <w:qFormat/>
    <w:uiPriority w:val="0"/>
    <w:rPr>
      <w:sz w:val="18"/>
      <w:szCs w:val="18"/>
    </w:rPr>
  </w:style>
  <w:style w:type="paragraph" w:styleId="17">
    <w:name w:val="footer"/>
    <w:basedOn w:val="1"/>
    <w:link w:val="36"/>
    <w:qFormat/>
    <w:uiPriority w:val="99"/>
    <w:pPr>
      <w:tabs>
        <w:tab w:val="center" w:pos="4153"/>
        <w:tab w:val="right" w:pos="8306"/>
      </w:tabs>
      <w:snapToGrid w:val="0"/>
      <w:jc w:val="left"/>
    </w:pPr>
    <w:rPr>
      <w:sz w:val="18"/>
      <w:szCs w:val="18"/>
    </w:rPr>
  </w:style>
  <w:style w:type="paragraph" w:styleId="18">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9">
    <w:name w:val="Subtitle"/>
    <w:basedOn w:val="1"/>
    <w:next w:val="1"/>
    <w:qFormat/>
    <w:uiPriority w:val="0"/>
    <w:pPr>
      <w:adjustRightInd w:val="0"/>
      <w:snapToGrid w:val="0"/>
      <w:spacing w:before="240" w:after="480"/>
      <w:jc w:val="center"/>
    </w:pPr>
    <w:rPr>
      <w:rFonts w:ascii="Arial" w:hAnsi="Arial" w:eastAsia="隶书"/>
      <w:b/>
      <w:bCs/>
      <w:kern w:val="28"/>
      <w:sz w:val="44"/>
      <w:szCs w:val="32"/>
    </w:rPr>
  </w:style>
  <w:style w:type="paragraph" w:styleId="20">
    <w:name w:val="toc 2"/>
    <w:basedOn w:val="1"/>
    <w:next w:val="1"/>
    <w:semiHidden/>
    <w:unhideWhenUsed/>
    <w:qFormat/>
    <w:uiPriority w:val="0"/>
    <w:pPr>
      <w:ind w:left="420" w:leftChars="200"/>
    </w:pPr>
    <w:rPr>
      <w:rFonts w:eastAsia="宋体"/>
      <w:sz w:val="21"/>
    </w:rPr>
  </w:style>
  <w:style w:type="paragraph" w:styleId="21">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22">
    <w:name w:val="Title"/>
    <w:basedOn w:val="1"/>
    <w:next w:val="1"/>
    <w:qFormat/>
    <w:uiPriority w:val="99"/>
    <w:pPr>
      <w:spacing w:before="240" w:after="60"/>
      <w:jc w:val="center"/>
    </w:pPr>
    <w:rPr>
      <w:rFonts w:ascii="等线 Light" w:hAnsi="等线 Light" w:eastAsia="等线 Light"/>
      <w:b/>
      <w:kern w:val="0"/>
      <w:szCs w:val="20"/>
    </w:rPr>
  </w:style>
  <w:style w:type="paragraph" w:styleId="23">
    <w:name w:val="annotation subject"/>
    <w:basedOn w:val="7"/>
    <w:next w:val="7"/>
    <w:link w:val="38"/>
    <w:qFormat/>
    <w:uiPriority w:val="0"/>
    <w:rPr>
      <w:b/>
      <w:bCs/>
    </w:rPr>
  </w:style>
  <w:style w:type="paragraph" w:styleId="24">
    <w:name w:val="Body Text First Indent 2"/>
    <w:basedOn w:val="10"/>
    <w:next w:val="15"/>
    <w:qFormat/>
    <w:uiPriority w:val="0"/>
    <w:pPr>
      <w:spacing w:after="120"/>
      <w:ind w:left="420" w:leftChars="200" w:firstLine="420"/>
    </w:pPr>
  </w:style>
  <w:style w:type="table" w:styleId="26">
    <w:name w:val="Table Grid"/>
    <w:basedOn w:val="2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b/>
    </w:rPr>
  </w:style>
  <w:style w:type="character" w:styleId="29">
    <w:name w:val="page number"/>
    <w:qFormat/>
    <w:uiPriority w:val="0"/>
    <w:rPr>
      <w:rFonts w:ascii="Times New Roman" w:hAnsi="Times New Roman" w:eastAsia="宋体" w:cs="Times New Roman"/>
    </w:rPr>
  </w:style>
  <w:style w:type="character" w:styleId="30">
    <w:name w:val="Hyperlink"/>
    <w:semiHidden/>
    <w:unhideWhenUsed/>
    <w:qFormat/>
    <w:uiPriority w:val="0"/>
    <w:rPr>
      <w:rFonts w:ascii="Times New Roman" w:hAnsi="Times New Roman" w:eastAsia="宋体" w:cs="Times New Roman"/>
      <w:color w:val="000080"/>
      <w:u w:val="none"/>
    </w:rPr>
  </w:style>
  <w:style w:type="character" w:styleId="31">
    <w:name w:val="annotation reference"/>
    <w:basedOn w:val="27"/>
    <w:qFormat/>
    <w:uiPriority w:val="0"/>
    <w:rPr>
      <w:sz w:val="21"/>
      <w:szCs w:val="21"/>
    </w:rPr>
  </w:style>
  <w:style w:type="paragraph" w:customStyle="1" w:styleId="32">
    <w:name w:val="_Style 2"/>
    <w:basedOn w:val="1"/>
    <w:qFormat/>
    <w:uiPriority w:val="0"/>
    <w:pPr>
      <w:spacing w:line="360" w:lineRule="auto"/>
      <w:ind w:firstLine="420" w:firstLineChars="200"/>
    </w:pPr>
    <w:rPr>
      <w:rFonts w:eastAsia="宋体"/>
      <w:sz w:val="24"/>
    </w:rPr>
  </w:style>
  <w:style w:type="paragraph" w:customStyle="1" w:styleId="33">
    <w:name w:val="样式 标题 1 + 四号 加粗"/>
    <w:basedOn w:val="3"/>
    <w:qFormat/>
    <w:uiPriority w:val="0"/>
  </w:style>
  <w:style w:type="character" w:customStyle="1" w:styleId="34">
    <w:name w:val="批注文字 字符"/>
    <w:basedOn w:val="27"/>
    <w:link w:val="7"/>
    <w:qFormat/>
    <w:uiPriority w:val="0"/>
    <w:rPr>
      <w:rFonts w:eastAsia="仿宋_GB2312"/>
      <w:kern w:val="2"/>
      <w:sz w:val="32"/>
      <w:szCs w:val="24"/>
    </w:rPr>
  </w:style>
  <w:style w:type="character" w:customStyle="1" w:styleId="35">
    <w:name w:val="批注框文本 字符"/>
    <w:basedOn w:val="27"/>
    <w:link w:val="16"/>
    <w:qFormat/>
    <w:uiPriority w:val="0"/>
    <w:rPr>
      <w:rFonts w:eastAsia="仿宋_GB2312"/>
      <w:kern w:val="2"/>
      <w:sz w:val="18"/>
      <w:szCs w:val="18"/>
    </w:rPr>
  </w:style>
  <w:style w:type="character" w:customStyle="1" w:styleId="36">
    <w:name w:val="页脚 字符"/>
    <w:basedOn w:val="27"/>
    <w:link w:val="17"/>
    <w:qFormat/>
    <w:uiPriority w:val="99"/>
    <w:rPr>
      <w:rFonts w:eastAsia="仿宋_GB2312"/>
      <w:kern w:val="2"/>
      <w:sz w:val="18"/>
      <w:szCs w:val="18"/>
    </w:rPr>
  </w:style>
  <w:style w:type="character" w:customStyle="1" w:styleId="37">
    <w:name w:val="页眉 字符"/>
    <w:basedOn w:val="27"/>
    <w:link w:val="18"/>
    <w:qFormat/>
    <w:uiPriority w:val="0"/>
    <w:rPr>
      <w:rFonts w:eastAsia="仿宋_GB2312"/>
      <w:kern w:val="2"/>
      <w:sz w:val="18"/>
      <w:szCs w:val="18"/>
    </w:rPr>
  </w:style>
  <w:style w:type="character" w:customStyle="1" w:styleId="38">
    <w:name w:val="批注主题 字符"/>
    <w:basedOn w:val="34"/>
    <w:link w:val="23"/>
    <w:qFormat/>
    <w:uiPriority w:val="0"/>
    <w:rPr>
      <w:rFonts w:eastAsia="仿宋_GB2312"/>
      <w:b/>
      <w:bCs/>
      <w:kern w:val="2"/>
      <w:sz w:val="32"/>
      <w:szCs w:val="24"/>
    </w:rPr>
  </w:style>
  <w:style w:type="paragraph" w:customStyle="1" w:styleId="39">
    <w:name w:val="Char1 Char Char Char"/>
    <w:basedOn w:val="1"/>
    <w:qFormat/>
    <w:uiPriority w:val="0"/>
    <w:pPr>
      <w:widowControl/>
      <w:spacing w:after="160" w:line="240" w:lineRule="exact"/>
      <w:jc w:val="left"/>
    </w:pPr>
    <w:rPr>
      <w:rFonts w:ascii="Verdana" w:hAnsi="Verdana" w:eastAsia="宋体"/>
      <w:kern w:val="0"/>
      <w:sz w:val="20"/>
      <w:szCs w:val="20"/>
      <w:lang w:eastAsia="en-US"/>
    </w:rPr>
  </w:style>
  <w:style w:type="paragraph" w:customStyle="1" w:styleId="40">
    <w:name w:val="Body Text First Indent1"/>
    <w:basedOn w:val="8"/>
    <w:next w:val="18"/>
    <w:qFormat/>
    <w:uiPriority w:val="0"/>
    <w:pPr>
      <w:ind w:firstLine="420" w:firstLineChars="100"/>
    </w:pPr>
    <w:rPr>
      <w:sz w:val="20"/>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styleId="42">
    <w:name w:val="List Paragraph"/>
    <w:basedOn w:val="1"/>
    <w:qFormat/>
    <w:uiPriority w:val="34"/>
    <w:pPr>
      <w:ind w:firstLine="420" w:firstLineChars="200"/>
    </w:pPr>
    <w:rPr>
      <w:rFonts w:ascii="Calibri" w:hAnsi="Calibri" w:eastAsia="等线"/>
      <w:kern w:val="0"/>
      <w:sz w:val="20"/>
      <w:szCs w:val="20"/>
    </w:rPr>
  </w:style>
  <w:style w:type="character" w:customStyle="1" w:styleId="43">
    <w:name w:val="标题 2 字符"/>
    <w:link w:val="4"/>
    <w:semiHidden/>
    <w:qFormat/>
    <w:uiPriority w:val="0"/>
    <w:rPr>
      <w:rFonts w:ascii="Calibri Light" w:hAnsi="Calibri Light" w:eastAsia="宋体" w:cs="Times New Roman"/>
      <w:b/>
      <w:bCs/>
      <w:sz w:val="32"/>
      <w:szCs w:val="32"/>
    </w:rPr>
  </w:style>
  <w:style w:type="character" w:customStyle="1" w:styleId="44">
    <w:name w:val="标题 1 字符"/>
    <w:link w:val="3"/>
    <w:qFormat/>
    <w:uiPriority w:val="0"/>
    <w:rPr>
      <w:rFonts w:ascii="Times New Roman" w:hAnsi="Times New Roman" w:eastAsia="宋体" w:cs="Times New Roman"/>
      <w:b/>
      <w:kern w:val="44"/>
      <w:sz w:val="44"/>
      <w:szCs w:val="20"/>
    </w:rPr>
  </w:style>
  <w:style w:type="paragraph" w:customStyle="1" w:styleId="45">
    <w:name w:val="3"/>
    <w:basedOn w:val="1"/>
    <w:qFormat/>
    <w:uiPriority w:val="0"/>
    <w:pPr>
      <w:adjustRightInd w:val="0"/>
      <w:spacing w:line="312" w:lineRule="atLeast"/>
      <w:ind w:left="1134" w:hanging="566"/>
    </w:pPr>
    <w:rPr>
      <w:rFonts w:ascii="昆仑楷体" w:eastAsia="昆仑楷体"/>
      <w:kern w:val="0"/>
      <w:sz w:val="24"/>
      <w:szCs w:val="20"/>
    </w:rPr>
  </w:style>
  <w:style w:type="paragraph" w:customStyle="1" w:styleId="46">
    <w:name w:val="Table Paragraph"/>
    <w:basedOn w:val="1"/>
    <w:qFormat/>
    <w:uiPriority w:val="1"/>
    <w:pPr>
      <w:jc w:val="left"/>
    </w:pPr>
    <w:rPr>
      <w:rFonts w:ascii="宋体" w:hAnsi="宋体" w:eastAsia="宋体" w:cs="宋体"/>
      <w:kern w:val="0"/>
      <w:sz w:val="22"/>
      <w:szCs w:val="22"/>
      <w:lang w:eastAsia="en-US"/>
    </w:rPr>
  </w:style>
  <w:style w:type="paragraph" w:customStyle="1" w:styleId="47">
    <w:name w:val="样式1"/>
    <w:basedOn w:val="8"/>
    <w:qFormat/>
    <w:uiPriority w:val="0"/>
    <w:pPr>
      <w:jc w:val="center"/>
    </w:pPr>
    <w:rPr>
      <w:rFonts w:ascii="Cambria" w:hAnsi="Cambria"/>
      <w:b/>
      <w:bCs/>
      <w:kern w:val="44"/>
      <w:sz w:val="32"/>
      <w:szCs w:val="44"/>
      <w:lang w:val="zh-CN"/>
    </w:rPr>
  </w:style>
  <w:style w:type="paragraph" w:customStyle="1" w:styleId="48">
    <w:name w:val="正文2"/>
    <w:basedOn w:val="1"/>
    <w:qFormat/>
    <w:uiPriority w:val="0"/>
    <w:pPr>
      <w:spacing w:before="156" w:line="360" w:lineRule="auto"/>
      <w:ind w:firstLine="510" w:firstLineChars="200"/>
    </w:pPr>
    <w:rPr>
      <w:rFonts w:ascii="Calibri" w:hAnsi="Calibri" w:eastAsia="宋体"/>
      <w:kern w:val="0"/>
      <w:sz w:val="24"/>
      <w:szCs w:val="20"/>
    </w:rPr>
  </w:style>
  <w:style w:type="paragraph" w:customStyle="1" w:styleId="49">
    <w:name w:val="列出段落1"/>
    <w:basedOn w:val="1"/>
    <w:qFormat/>
    <w:uiPriority w:val="34"/>
    <w:pPr>
      <w:ind w:firstLine="420" w:firstLineChars="200"/>
    </w:pPr>
    <w:rPr>
      <w:rFonts w:eastAsia="宋体"/>
      <w:sz w:val="21"/>
    </w:rPr>
  </w:style>
  <w:style w:type="paragraph" w:customStyle="1" w:styleId="50">
    <w:name w:val="_Style 284"/>
    <w:basedOn w:val="8"/>
    <w:next w:val="1"/>
    <w:qFormat/>
    <w:uiPriority w:val="99"/>
    <w:pPr>
      <w:widowControl/>
      <w:ind w:firstLine="420" w:firstLineChars="100"/>
      <w:jc w:val="left"/>
    </w:pPr>
    <w:rPr>
      <w:kern w:val="0"/>
    </w:rPr>
  </w:style>
  <w:style w:type="paragraph" w:customStyle="1" w:styleId="51">
    <w:name w:val="纯文本1"/>
    <w:basedOn w:val="1"/>
    <w:qFormat/>
    <w:uiPriority w:val="0"/>
    <w:rPr>
      <w:rFonts w:ascii="宋体" w:hAnsi="Courier New" w:eastAsia="宋体"/>
      <w:kern w:val="0"/>
      <w:sz w:val="20"/>
      <w:szCs w:val="21"/>
    </w:rPr>
  </w:style>
  <w:style w:type="paragraph" w:customStyle="1" w:styleId="52">
    <w:name w:val="纯文本2"/>
    <w:basedOn w:val="1"/>
    <w:qFormat/>
    <w:uiPriority w:val="0"/>
    <w:rPr>
      <w:rFonts w:ascii="宋体" w:hAnsi="Courier New" w:eastAsia="宋体"/>
      <w:sz w:val="20"/>
    </w:rPr>
  </w:style>
  <w:style w:type="paragraph" w:customStyle="1" w:styleId="53">
    <w:name w:val="纯文本11"/>
    <w:basedOn w:val="1"/>
    <w:qFormat/>
    <w:uiPriority w:val="0"/>
    <w:rPr>
      <w:rFonts w:ascii="宋体" w:hAnsi="Courier New" w:eastAsia="宋体"/>
      <w:sz w:val="21"/>
      <w:szCs w:val="22"/>
    </w:rPr>
  </w:style>
  <w:style w:type="paragraph" w:customStyle="1" w:styleId="54">
    <w:name w:val="正文缩进1"/>
    <w:basedOn w:val="1"/>
    <w:next w:val="10"/>
    <w:qFormat/>
    <w:uiPriority w:val="0"/>
    <w:pPr>
      <w:autoSpaceDE w:val="0"/>
      <w:autoSpaceDN w:val="0"/>
      <w:adjustRightInd w:val="0"/>
      <w:snapToGrid w:val="0"/>
      <w:spacing w:after="120" w:line="360" w:lineRule="auto"/>
      <w:ind w:left="420" w:leftChars="200" w:firstLine="480" w:firstLineChars="200"/>
    </w:pPr>
    <w:rPr>
      <w:rFonts w:eastAsia="宋体"/>
      <w:sz w:val="24"/>
      <w:szCs w:val="21"/>
    </w:rPr>
  </w:style>
  <w:style w:type="paragraph" w:customStyle="1" w:styleId="55">
    <w:name w:val="text-tag"/>
    <w:basedOn w:val="1"/>
    <w:semiHidden/>
    <w:qFormat/>
    <w:uiPriority w:val="99"/>
    <w:pPr>
      <w:widowControl/>
      <w:spacing w:before="100" w:beforeAutospacing="1" w:after="100" w:afterAutospacing="1"/>
      <w:jc w:val="left"/>
    </w:pPr>
    <w:rPr>
      <w:rFonts w:ascii="宋体" w:hAnsi="宋体" w:eastAsia="宋体" w:cs="宋体"/>
      <w:kern w:val="0"/>
      <w:sz w:val="24"/>
    </w:rPr>
  </w:style>
  <w:style w:type="paragraph" w:customStyle="1" w:styleId="56">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7">
    <w:name w:val="[Normal]"/>
    <w:qFormat/>
    <w:uiPriority w:val="99"/>
    <w:rPr>
      <w:rFonts w:ascii="宋体" w:hAnsi="宋体" w:eastAsia="宋体" w:cs="Times New Roman"/>
      <w:sz w:val="24"/>
      <w:szCs w:val="22"/>
      <w:lang w:val="zh-CN" w:eastAsia="zh-CN" w:bidi="ar-SA"/>
    </w:rPr>
  </w:style>
  <w:style w:type="paragraph" w:customStyle="1" w:styleId="58">
    <w:name w:val="dyibufen"/>
    <w:basedOn w:val="1"/>
    <w:qFormat/>
    <w:uiPriority w:val="0"/>
    <w:pPr>
      <w:spacing w:line="360" w:lineRule="auto"/>
      <w:jc w:val="center"/>
      <w:outlineLvl w:val="0"/>
    </w:pPr>
    <w:rPr>
      <w:rFonts w:ascii="宋体" w:hAnsi="宋体" w:eastAsia="宋体"/>
      <w:b/>
      <w:color w:val="000000"/>
      <w:szCs w:val="32"/>
    </w:rPr>
  </w:style>
  <w:style w:type="character" w:customStyle="1" w:styleId="59">
    <w:name w:val="10"/>
    <w:basedOn w:val="27"/>
    <w:qFormat/>
    <w:uiPriority w:val="0"/>
    <w:rPr>
      <w:rFonts w:hint="default" w:ascii="Times New Roman" w:hAnsi="Times New Roman" w:eastAsia="宋体" w:cs="Times New Roman"/>
    </w:rPr>
  </w:style>
  <w:style w:type="character" w:customStyle="1" w:styleId="60">
    <w:name w:val="15"/>
    <w:basedOn w:val="27"/>
    <w:qFormat/>
    <w:uiPriority w:val="0"/>
    <w:rPr>
      <w:rFonts w:hint="default" w:ascii="Times New Roman" w:hAnsi="Times New Roman" w:eastAsia="宋体" w:cs="Times New Roman"/>
    </w:rPr>
  </w:style>
  <w:style w:type="character" w:customStyle="1" w:styleId="61">
    <w:name w:val="font61"/>
    <w:basedOn w:val="27"/>
    <w:qFormat/>
    <w:uiPriority w:val="0"/>
    <w:rPr>
      <w:rFonts w:ascii="宋体" w:hAnsi="宋体" w:eastAsia="宋体" w:cs="宋体"/>
      <w:color w:val="000000"/>
      <w:sz w:val="14"/>
      <w:szCs w:val="14"/>
      <w:u w:val="none"/>
    </w:rPr>
  </w:style>
  <w:style w:type="character" w:customStyle="1" w:styleId="62">
    <w:name w:val="font71"/>
    <w:basedOn w:val="27"/>
    <w:qFormat/>
    <w:uiPriority w:val="0"/>
    <w:rPr>
      <w:rFonts w:ascii="宋体" w:hAnsi="宋体" w:eastAsia="宋体" w:cs="宋体"/>
      <w:color w:val="003A87"/>
      <w:sz w:val="14"/>
      <w:szCs w:val="14"/>
      <w:u w:val="none"/>
    </w:rPr>
  </w:style>
  <w:style w:type="character" w:customStyle="1" w:styleId="63">
    <w:name w:val="font81"/>
    <w:basedOn w:val="27"/>
    <w:qFormat/>
    <w:uiPriority w:val="0"/>
    <w:rPr>
      <w:rFonts w:ascii="宋体" w:hAnsi="宋体" w:eastAsia="宋体" w:cs="宋体"/>
      <w:color w:val="A70016"/>
      <w:sz w:val="14"/>
      <w:szCs w:val="14"/>
      <w:u w:val="none"/>
    </w:rPr>
  </w:style>
  <w:style w:type="character" w:customStyle="1" w:styleId="64">
    <w:name w:val="font91"/>
    <w:basedOn w:val="27"/>
    <w:qFormat/>
    <w:uiPriority w:val="0"/>
    <w:rPr>
      <w:rFonts w:ascii="宋体" w:hAnsi="宋体" w:eastAsia="宋体" w:cs="宋体"/>
      <w:color w:val="00388D"/>
      <w:sz w:val="14"/>
      <w:szCs w:val="14"/>
      <w:u w:val="none"/>
    </w:rPr>
  </w:style>
  <w:style w:type="paragraph" w:customStyle="1" w:styleId="6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_Style 3"/>
    <w:basedOn w:val="1"/>
    <w:qFormat/>
    <w:uiPriority w:val="1"/>
    <w:pPr>
      <w:ind w:firstLine="420" w:firstLineChars="200"/>
    </w:pPr>
    <w:rPr>
      <w:sz w:val="28"/>
    </w:rPr>
  </w:style>
  <w:style w:type="paragraph" w:customStyle="1" w:styleId="67">
    <w:name w:val="Normal Indent1"/>
    <w:basedOn w:val="1"/>
    <w:qFormat/>
    <w:uiPriority w:val="0"/>
    <w:pPr>
      <w:ind w:firstLine="420" w:firstLineChars="200"/>
    </w:pPr>
  </w:style>
  <w:style w:type="paragraph" w:customStyle="1" w:styleId="68">
    <w:name w:val="列表段落1"/>
    <w:basedOn w:val="1"/>
    <w:qFormat/>
    <w:uiPriority w:val="0"/>
    <w:pPr>
      <w:ind w:firstLine="420" w:firstLineChars="200"/>
    </w:pPr>
    <w:rPr>
      <w:rFonts w:ascii="Calibri" w:hAnsi="Calibri" w:eastAsia="宋体" w:cs="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snowhite\Library\Containers\com.kingsoft.wpsoffice.mac\Data\C:\wps\F:\A&#39033;&#30446;&#25991;&#26723;\A&#23454;&#26045;&#39033;&#30446;\12825%20&#26477;&#24030;&#22478;&#24314;&#25237;&#36164;A6\&#32418;&#22836;&#25991;&#20214;\&#22871;&#32418;&#27169;&#29256;%20&#21407;&#31295;\&#22478;&#24314;&#20844;&#25991;&#27169;&#26495;\&#33891;&#20107;&#20250;&#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C:\Users\snowhite\Library\Containers\com.kingsoft.wpsoffice.mac\Data\C:\wps\F:\A项目文档\A实施项目\12825 杭州城建投资A6\红头文件\套红模版 原稿\城建公文模板\董事会文件.dot</Template>
  <Company>cjzc</Company>
  <Pages>66</Pages>
  <Words>29309</Words>
  <Characters>31492</Characters>
  <Lines>234</Lines>
  <Paragraphs>66</Paragraphs>
  <TotalTime>4</TotalTime>
  <ScaleCrop>false</ScaleCrop>
  <LinksUpToDate>false</LinksUpToDate>
  <CharactersWithSpaces>32932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2023-11-25T10:00:00Z</dcterms:created>
  <dc:creator>pc</dc:creator>
  <cp:lastModifiedBy>HYK</cp:lastModifiedBy>
  <cp:lastPrinted>2024-08-26T06:43:00Z</cp:lastPrinted>
  <dcterms:modified xsi:type="dcterms:W3CDTF">2024-11-22T05:43:08Z</dcterms:modified>
  <dc:title>杭州市城市建设资产经营有限公司董事会文件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90539AED245B470796BAC4D6EDA82924_13</vt:lpwstr>
  </property>
</Properties>
</file>